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jc w:val="left"/>
      </w:pPr>
      <w:r>
        <w:rPr>
          <w:rFonts w:ascii="Arial" w:cs="Arial" w:eastAsia="Arial" w:hAnsi="Arial"/>
          <w:b/>
          <w:bCs/>
          <w:color w:val="5B2BC9"/>
          <w:sz w:val="40"/>
          <w:szCs w:val="40"/>
        </w:rPr>
        <w:t xml:space="preserve">Contexto Social, Económico y Cultural de Acolman, Estado de México (Actualización 2026)</w:t>
      </w:r>
    </w:p>
    <w:p>
      <w:pPr>
        <w:pBdr>
          <w:bottom w:val="single" w:color="5B2BC9" w:sz="8" w:space="6"/>
        </w:pBdr>
        <w:spacing w:after="360"/>
      </w:pPr>
      <w:r>
        <w:rPr>
          <w:rFonts w:ascii="Arial" w:cs="Arial" w:eastAsia="Arial" w:hAnsi="Arial"/>
          <w:color w:val="555555"/>
          <w:sz w:val="20"/>
          <w:szCs w:val="20"/>
        </w:rPr>
        <w:t xml:space="preserve">Mtro. Fernando Arciniega · Profe Arci · fernandoarciniega.com</w:t>
      </w:r>
    </w:p>
    <w:p>
      <w:pPr>
        <w:spacing w:after="160" w:line="320"/>
      </w:pPr>
      <w:r>
        <w:rPr>
          <w:rFonts w:ascii="Arial" w:cs="Arial" w:eastAsia="Arial" w:hAnsi="Arial"/>
          <w:sz w:val="24"/>
          <w:szCs w:val="24"/>
        </w:rPr>
        <w:t xml:space="preserve">Acolman es uno de esos municipios donde la historia se siente en cada calle. Aquí se celebraron las primeras posadas de México, aquí se hizo la primera piñata de siete picos y aquí se encontraron restos humanos de miles de años de antigüedad. Al mismo tiempo, es un municipio que crece, que se urbaniza y que forma parte de la Zona Metropolitana del Valle de México. En este artículo te explico su contexto social, económico, cultural e histórico con datos actualizados, ideal para tu memoria de trabajo o cualquier investigación escolar.</w:t>
      </w:r>
    </w:p>
    <w:p>
      <w:pPr>
        <w:pStyle w:val="Heading1"/>
        <w:spacing w:after="120" w:before="320"/>
      </w:pPr>
      <w:r>
        <w:rPr>
          <w:rFonts w:ascii="Arial" w:cs="Arial" w:eastAsia="Arial" w:hAnsi="Arial"/>
          <w:b/>
          <w:bCs/>
          <w:color w:val="2E1A6B"/>
          <w:sz w:val="30"/>
          <w:szCs w:val="30"/>
        </w:rPr>
        <w:t xml:space="preserve">Datos generales de Acolman</w:t>
      </w:r>
    </w:p>
    <w:p>
      <w:pPr>
        <w:pStyle w:val="ListParagraph"/>
        <w:numPr>
          <w:ilvl w:val="0"/>
          <w:numId w:val="2"/>
        </w:numPr>
        <w:spacing w:after="80" w:line="300"/>
      </w:pPr>
      <w:r>
        <w:rPr>
          <w:rFonts w:ascii="Arial" w:cs="Arial" w:eastAsia="Arial" w:hAnsi="Arial"/>
          <w:b/>
          <w:bCs/>
          <w:sz w:val="24"/>
          <w:szCs w:val="24"/>
        </w:rPr>
        <w:t xml:space="preserve">Nombre oficial de la cabecera:</w:t>
      </w:r>
      <w:r>
        <w:rPr>
          <w:rFonts w:ascii="Arial" w:cs="Arial" w:eastAsia="Arial" w:hAnsi="Arial"/>
          <w:sz w:val="24"/>
          <w:szCs w:val="24"/>
        </w:rPr>
        <w:t xml:space="preserve"> Acolman de Nezahualcóyotl.</w:t>
      </w:r>
    </w:p>
    <w:p>
      <w:pPr>
        <w:pStyle w:val="ListParagraph"/>
        <w:numPr>
          <w:ilvl w:val="0"/>
          <w:numId w:val="2"/>
        </w:numPr>
        <w:spacing w:after="80" w:line="300"/>
      </w:pPr>
      <w:r>
        <w:rPr>
          <w:rFonts w:ascii="Arial" w:cs="Arial" w:eastAsia="Arial" w:hAnsi="Arial"/>
          <w:b/>
          <w:bCs/>
          <w:sz w:val="24"/>
          <w:szCs w:val="24"/>
        </w:rPr>
        <w:t xml:space="preserve">Ubicación:</w:t>
      </w:r>
      <w:r>
        <w:rPr>
          <w:rFonts w:ascii="Arial" w:cs="Arial" w:eastAsia="Arial" w:hAnsi="Arial"/>
          <w:sz w:val="24"/>
          <w:szCs w:val="24"/>
        </w:rPr>
        <w:t xml:space="preserve"> noreste del Estado de México, entre Ecatepec, Tecámac, Teotihuacán y Texcoco, muy cerca de la zona arqueológica de Teotihuacán.</w:t>
      </w:r>
    </w:p>
    <w:p>
      <w:pPr>
        <w:pStyle w:val="ListParagraph"/>
        <w:numPr>
          <w:ilvl w:val="0"/>
          <w:numId w:val="2"/>
        </w:numPr>
        <w:spacing w:after="80" w:line="300"/>
      </w:pPr>
      <w:r>
        <w:rPr>
          <w:rFonts w:ascii="Arial" w:cs="Arial" w:eastAsia="Arial" w:hAnsi="Arial"/>
          <w:b/>
          <w:bCs/>
          <w:sz w:val="24"/>
          <w:szCs w:val="24"/>
        </w:rPr>
        <w:t xml:space="preserve">Población:</w:t>
      </w:r>
      <w:r>
        <w:rPr>
          <w:rFonts w:ascii="Arial" w:cs="Arial" w:eastAsia="Arial" w:hAnsi="Arial"/>
          <w:sz w:val="24"/>
          <w:szCs w:val="24"/>
        </w:rPr>
        <w:t xml:space="preserve"> 171,507 habitantes, según el Censo de Población y Vivienda 2020 del INEGI. Ocupa el lugar 25 de los 125 municipios del estado por número de habitantes.</w:t>
      </w:r>
    </w:p>
    <w:p>
      <w:pPr>
        <w:pStyle w:val="ListParagraph"/>
        <w:numPr>
          <w:ilvl w:val="0"/>
          <w:numId w:val="2"/>
        </w:numPr>
        <w:spacing w:after="80" w:line="300"/>
      </w:pPr>
      <w:r>
        <w:rPr>
          <w:rFonts w:ascii="Arial" w:cs="Arial" w:eastAsia="Arial" w:hAnsi="Arial"/>
          <w:b/>
          <w:bCs/>
          <w:sz w:val="24"/>
          <w:szCs w:val="24"/>
        </w:rPr>
        <w:t xml:space="preserve">Localidad más poblada:</w:t>
      </w:r>
      <w:r>
        <w:rPr>
          <w:rFonts w:ascii="Arial" w:cs="Arial" w:eastAsia="Arial" w:hAnsi="Arial"/>
          <w:sz w:val="24"/>
          <w:szCs w:val="24"/>
        </w:rPr>
        <w:t xml:space="preserve"> Tepexpan.</w:t>
      </w:r>
    </w:p>
    <w:p>
      <w:pPr>
        <w:pStyle w:val="ListParagraph"/>
        <w:numPr>
          <w:ilvl w:val="0"/>
          <w:numId w:val="2"/>
        </w:numPr>
        <w:spacing w:after="80" w:line="300"/>
      </w:pPr>
      <w:r>
        <w:rPr>
          <w:rFonts w:ascii="Arial" w:cs="Arial" w:eastAsia="Arial" w:hAnsi="Arial"/>
          <w:b/>
          <w:bCs/>
          <w:sz w:val="24"/>
          <w:szCs w:val="24"/>
        </w:rPr>
        <w:t xml:space="preserve">Altitud:</w:t>
      </w:r>
      <w:r>
        <w:rPr>
          <w:rFonts w:ascii="Arial" w:cs="Arial" w:eastAsia="Arial" w:hAnsi="Arial"/>
          <w:sz w:val="24"/>
          <w:szCs w:val="24"/>
        </w:rPr>
        <w:t xml:space="preserve"> alrededor de 2,275 metros sobre el nivel del mar.</w:t>
      </w:r>
    </w:p>
    <w:p>
      <w:pPr>
        <w:pStyle w:val="ListParagraph"/>
        <w:numPr>
          <w:ilvl w:val="0"/>
          <w:numId w:val="2"/>
        </w:numPr>
        <w:spacing w:after="80" w:line="300"/>
      </w:pPr>
      <w:r>
        <w:rPr>
          <w:rFonts w:ascii="Arial" w:cs="Arial" w:eastAsia="Arial" w:hAnsi="Arial"/>
          <w:b/>
          <w:bCs/>
          <w:sz w:val="24"/>
          <w:szCs w:val="24"/>
        </w:rPr>
        <w:t xml:space="preserve">Distinción turística:</w:t>
      </w:r>
      <w:r>
        <w:rPr>
          <w:rFonts w:ascii="Arial" w:cs="Arial" w:eastAsia="Arial" w:hAnsi="Arial"/>
          <w:sz w:val="24"/>
          <w:szCs w:val="24"/>
        </w:rPr>
        <w:t xml:space="preserve"> es Pueblo con Encanto del Estado de México.</w:t>
      </w:r>
    </w:p>
    <w:p>
      <w:pPr>
        <w:pStyle w:val="Heading1"/>
        <w:spacing w:after="120" w:before="320"/>
      </w:pPr>
      <w:r>
        <w:rPr>
          <w:rFonts w:ascii="Arial" w:cs="Arial" w:eastAsia="Arial" w:hAnsi="Arial"/>
          <w:b/>
          <w:bCs/>
          <w:color w:val="2E1A6B"/>
          <w:sz w:val="30"/>
          <w:szCs w:val="30"/>
        </w:rPr>
        <w:t xml:space="preserve">Contexto histórico: de los acolhuas a los frailes agustinos</w:t>
      </w:r>
    </w:p>
    <w:p>
      <w:pPr>
        <w:spacing w:after="160" w:line="320"/>
      </w:pPr>
      <w:r>
        <w:rPr>
          <w:rFonts w:ascii="Arial" w:cs="Arial" w:eastAsia="Arial" w:hAnsi="Arial"/>
          <w:b/>
          <w:bCs/>
          <w:sz w:val="24"/>
          <w:szCs w:val="24"/>
        </w:rPr>
        <w:t xml:space="preserve">Significado del nombre.</w:t>
      </w:r>
      <w:r>
        <w:rPr>
          <w:rFonts w:ascii="Arial" w:cs="Arial" w:eastAsia="Arial" w:hAnsi="Arial"/>
          <w:sz w:val="24"/>
          <w:szCs w:val="24"/>
        </w:rPr>
        <w:t xml:space="preserve"> Acolman viene del náhuatl y suele interpretarse como "hombre con mano" o "brazo de hombre", por las raíces </w:t>
      </w:r>
      <w:r>
        <w:rPr>
          <w:rFonts w:ascii="Arial" w:cs="Arial" w:eastAsia="Arial" w:hAnsi="Arial"/>
          <w:i/>
          <w:iCs/>
          <w:sz w:val="24"/>
          <w:szCs w:val="24"/>
        </w:rPr>
        <w:t xml:space="preserve">acolli</w:t>
      </w:r>
      <w:r>
        <w:rPr>
          <w:rFonts w:ascii="Arial" w:cs="Arial" w:eastAsia="Arial" w:hAnsi="Arial"/>
          <w:sz w:val="24"/>
          <w:szCs w:val="24"/>
        </w:rPr>
        <w:t xml:space="preserve"> (hombro u hombre) y </w:t>
      </w:r>
      <w:r>
        <w:rPr>
          <w:rFonts w:ascii="Arial" w:cs="Arial" w:eastAsia="Arial" w:hAnsi="Arial"/>
          <w:i/>
          <w:iCs/>
          <w:sz w:val="24"/>
          <w:szCs w:val="24"/>
        </w:rPr>
        <w:t xml:space="preserve">maitl</w:t>
      </w:r>
      <w:r>
        <w:rPr>
          <w:rFonts w:ascii="Arial" w:cs="Arial" w:eastAsia="Arial" w:hAnsi="Arial"/>
          <w:sz w:val="24"/>
          <w:szCs w:val="24"/>
        </w:rPr>
        <w:t xml:space="preserve"> (mano o brazo). En documentos antiguos aparece también como Oculma o Aculma. Su glifo representa precisamente un brazo con el símbolo del agua.</w:t>
      </w:r>
    </w:p>
    <w:p>
      <w:pPr>
        <w:spacing w:after="160" w:line="320"/>
      </w:pPr>
      <w:r>
        <w:rPr>
          <w:rFonts w:ascii="Arial" w:cs="Arial" w:eastAsia="Arial" w:hAnsi="Arial"/>
          <w:b/>
          <w:bCs/>
          <w:sz w:val="24"/>
          <w:szCs w:val="24"/>
        </w:rPr>
        <w:t xml:space="preserve">Época prehistórica.</w:t>
      </w:r>
      <w:r>
        <w:rPr>
          <w:rFonts w:ascii="Arial" w:cs="Arial" w:eastAsia="Arial" w:hAnsi="Arial"/>
          <w:sz w:val="24"/>
          <w:szCs w:val="24"/>
        </w:rPr>
        <w:t xml:space="preserve"> En 1947, el arqueólogo Helmut de Terra descubrió en Tepexpan un esqueleto humano junto a restos de mamuts, a orillas del antiguo lago de Texcoco. Es conocido como el </w:t>
      </w:r>
      <w:r>
        <w:rPr>
          <w:rFonts w:ascii="Arial" w:cs="Arial" w:eastAsia="Arial" w:hAnsi="Arial"/>
          <w:b/>
          <w:bCs/>
          <w:sz w:val="24"/>
          <w:szCs w:val="24"/>
        </w:rPr>
        <w:t xml:space="preserve">Hombre de Tepexpan</w:t>
      </w:r>
      <w:r>
        <w:rPr>
          <w:rFonts w:ascii="Arial" w:cs="Arial" w:eastAsia="Arial" w:hAnsi="Arial"/>
          <w:sz w:val="24"/>
          <w:szCs w:val="24"/>
        </w:rPr>
        <w:t xml:space="preserve"> y durante décadas se consideró uno de los restos humanos más antiguos de América. Estudios posteriores han debatido tanto su antigüedad como su sexo, ya que hay investigaciones que proponen que se trataba de una mujer. Hoy existe un museo en el sitio del hallazgo.</w:t>
      </w:r>
    </w:p>
    <w:p>
      <w:pPr>
        <w:spacing w:after="160" w:line="320"/>
      </w:pPr>
      <w:r>
        <w:rPr>
          <w:rFonts w:ascii="Arial" w:cs="Arial" w:eastAsia="Arial" w:hAnsi="Arial"/>
          <w:b/>
          <w:bCs/>
          <w:sz w:val="24"/>
          <w:szCs w:val="24"/>
        </w:rPr>
        <w:t xml:space="preserve">Época prehispánica.</w:t>
      </w:r>
      <w:r>
        <w:rPr>
          <w:rFonts w:ascii="Arial" w:cs="Arial" w:eastAsia="Arial" w:hAnsi="Arial"/>
          <w:sz w:val="24"/>
          <w:szCs w:val="24"/>
        </w:rPr>
        <w:t xml:space="preserve"> La fundación de Acolman se atribuye a los </w:t>
      </w:r>
      <w:r>
        <w:rPr>
          <w:rFonts w:ascii="Arial" w:cs="Arial" w:eastAsia="Arial" w:hAnsi="Arial"/>
          <w:b/>
          <w:bCs/>
          <w:sz w:val="24"/>
          <w:szCs w:val="24"/>
        </w:rPr>
        <w:t xml:space="preserve">acolhuas</w:t>
      </w:r>
      <w:r>
        <w:rPr>
          <w:rFonts w:ascii="Arial" w:cs="Arial" w:eastAsia="Arial" w:hAnsi="Arial"/>
          <w:sz w:val="24"/>
          <w:szCs w:val="24"/>
        </w:rPr>
        <w:t xml:space="preserve">, un pueblo de origen chichimeca. Según la Tira de Tepexpan, los señoríos de Acolman y Tepexpan fueron fundados en 1334 por Icxcuautli y su esposa Tozquentzin. En la plaza de Tepexpan, el Mosaico tepechpaneca resume en cuatro escenas la historia del pueblo.</w:t>
      </w:r>
    </w:p>
    <w:p>
      <w:pPr>
        <w:spacing w:after="160" w:line="320"/>
      </w:pPr>
      <w:r>
        <w:rPr>
          <w:rFonts w:ascii="Arial" w:cs="Arial" w:eastAsia="Arial" w:hAnsi="Arial"/>
          <w:b/>
          <w:bCs/>
          <w:sz w:val="24"/>
          <w:szCs w:val="24"/>
        </w:rPr>
        <w:t xml:space="preserve">Época colonial.</w:t>
      </w:r>
      <w:r>
        <w:rPr>
          <w:rFonts w:ascii="Arial" w:cs="Arial" w:eastAsia="Arial" w:hAnsi="Arial"/>
          <w:sz w:val="24"/>
          <w:szCs w:val="24"/>
        </w:rPr>
        <w:t xml:space="preserve"> Tras la conquista, Acolman fue encomienda de Pedro de Solís y después llegaron los frailes. Los agustinos construyeron entre 1539 y 1580 el </w:t>
      </w:r>
      <w:r>
        <w:rPr>
          <w:rFonts w:ascii="Arial" w:cs="Arial" w:eastAsia="Arial" w:hAnsi="Arial"/>
          <w:b/>
          <w:bCs/>
          <w:sz w:val="24"/>
          <w:szCs w:val="24"/>
        </w:rPr>
        <w:t xml:space="preserve">Templo y Ex Convento de San Agustín</w:t>
      </w:r>
      <w:r>
        <w:rPr>
          <w:rFonts w:ascii="Arial" w:cs="Arial" w:eastAsia="Arial" w:hAnsi="Arial"/>
          <w:sz w:val="24"/>
          <w:szCs w:val="24"/>
        </w:rPr>
        <w:t xml:space="preserve">, famoso por su fachada de estilo plateresco, una de las primeras de su tipo en la Nueva España.</w:t>
      </w:r>
    </w:p>
    <w:p>
      <w:pPr>
        <w:spacing w:after="160" w:line="320"/>
      </w:pPr>
      <w:r>
        <w:rPr>
          <w:rFonts w:ascii="Arial" w:cs="Arial" w:eastAsia="Arial" w:hAnsi="Arial"/>
          <w:b/>
          <w:bCs/>
          <w:sz w:val="24"/>
          <w:szCs w:val="24"/>
        </w:rPr>
        <w:t xml:space="preserve">Siglo XIX.</w:t>
      </w:r>
      <w:r>
        <w:rPr>
          <w:rFonts w:ascii="Arial" w:cs="Arial" w:eastAsia="Arial" w:hAnsi="Arial"/>
          <w:sz w:val="24"/>
          <w:szCs w:val="24"/>
        </w:rPr>
        <w:t xml:space="preserve"> En 1877 la cabecera recibió el nombre de Acolman de Nezahualcóyotl, en honor al célebre gobernante de Texcoco.</w:t>
      </w:r>
    </w:p>
    <w:p>
      <w:pPr>
        <w:pStyle w:val="Heading1"/>
        <w:spacing w:after="120" w:before="320"/>
      </w:pPr>
      <w:r>
        <w:rPr>
          <w:rFonts w:ascii="Arial" w:cs="Arial" w:eastAsia="Arial" w:hAnsi="Arial"/>
          <w:b/>
          <w:bCs/>
          <w:color w:val="2E1A6B"/>
          <w:sz w:val="30"/>
          <w:szCs w:val="30"/>
        </w:rPr>
        <w:t xml:space="preserve">Contexto social: crecimiento con raíces rurales</w:t>
      </w:r>
    </w:p>
    <w:p>
      <w:pPr>
        <w:spacing w:after="160" w:line="320"/>
      </w:pPr>
      <w:r>
        <w:rPr>
          <w:rFonts w:ascii="Arial" w:cs="Arial" w:eastAsia="Arial" w:hAnsi="Arial"/>
          <w:sz w:val="24"/>
          <w:szCs w:val="24"/>
        </w:rPr>
        <w:t xml:space="preserve">Acolman está en plena transformación. De acuerdo con Data México, su población creció 25.6 % entre 2010 y 2020, impulsada por nuevos conjuntos habitacionales y por su cercanía con Ecatepec, Tecámac y la Ciudad de México.</w:t>
      </w:r>
    </w:p>
    <w:p>
      <w:pPr>
        <w:spacing w:after="160" w:line="320"/>
      </w:pPr>
      <w:r>
        <w:rPr>
          <w:rFonts w:ascii="Arial" w:cs="Arial" w:eastAsia="Arial" w:hAnsi="Arial"/>
          <w:b/>
          <w:bCs/>
          <w:sz w:val="24"/>
          <w:szCs w:val="24"/>
        </w:rPr>
        <w:t xml:space="preserve">Características de la población (2020):</w:t>
      </w:r>
    </w:p>
    <w:p>
      <w:pPr>
        <w:pStyle w:val="ListParagraph"/>
        <w:numPr>
          <w:ilvl w:val="0"/>
          <w:numId w:val="2"/>
        </w:numPr>
        <w:spacing w:after="80" w:line="300"/>
      </w:pPr>
      <w:r>
        <w:rPr>
          <w:rFonts w:ascii="Arial" w:cs="Arial" w:eastAsia="Arial" w:hAnsi="Arial"/>
          <w:sz w:val="24"/>
          <w:szCs w:val="24"/>
        </w:rPr>
        <w:t xml:space="preserve">La población está prácticamente dividida a la mitad: 50.3 % hombres y 49.7 % mujeres.</w:t>
      </w:r>
    </w:p>
    <w:p>
      <w:pPr>
        <w:pStyle w:val="ListParagraph"/>
        <w:numPr>
          <w:ilvl w:val="0"/>
          <w:numId w:val="2"/>
        </w:numPr>
        <w:spacing w:after="80" w:line="300"/>
      </w:pPr>
      <w:r>
        <w:rPr>
          <w:rFonts w:ascii="Arial" w:cs="Arial" w:eastAsia="Arial" w:hAnsi="Arial"/>
          <w:sz w:val="24"/>
          <w:szCs w:val="24"/>
        </w:rPr>
        <w:t xml:space="preserve">Cerca del 71 % de los habitantes es mayor de edad y alrededor del 9 % son adultos mayores.</w:t>
      </w:r>
    </w:p>
    <w:p>
      <w:pPr>
        <w:pStyle w:val="ListParagraph"/>
        <w:numPr>
          <w:ilvl w:val="0"/>
          <w:numId w:val="2"/>
        </w:numPr>
        <w:spacing w:after="80" w:line="300"/>
      </w:pPr>
      <w:r>
        <w:rPr>
          <w:rFonts w:ascii="Arial" w:cs="Arial" w:eastAsia="Arial" w:hAnsi="Arial"/>
          <w:sz w:val="24"/>
          <w:szCs w:val="24"/>
        </w:rPr>
        <w:t xml:space="preserve">El promedio de escolaridad es de 9.8 años, es decir, secundaria terminada y un poco más.</w:t>
      </w:r>
    </w:p>
    <w:p>
      <w:pPr>
        <w:pStyle w:val="ListParagraph"/>
        <w:numPr>
          <w:ilvl w:val="0"/>
          <w:numId w:val="2"/>
        </w:numPr>
        <w:spacing w:after="80" w:line="300"/>
      </w:pPr>
      <w:r>
        <w:rPr>
          <w:rFonts w:ascii="Arial" w:cs="Arial" w:eastAsia="Arial" w:hAnsi="Arial"/>
          <w:sz w:val="24"/>
          <w:szCs w:val="24"/>
        </w:rPr>
        <w:t xml:space="preserve">Alrededor de 1.3 % de la población de 3 años y más habla alguna lengua indígena.</w:t>
      </w:r>
    </w:p>
    <w:p>
      <w:pPr>
        <w:pStyle w:val="ListParagraph"/>
        <w:numPr>
          <w:ilvl w:val="0"/>
          <w:numId w:val="2"/>
        </w:numPr>
        <w:spacing w:after="80" w:line="300"/>
      </w:pPr>
      <w:r>
        <w:rPr>
          <w:rFonts w:ascii="Arial" w:cs="Arial" w:eastAsia="Arial" w:hAnsi="Arial"/>
          <w:sz w:val="24"/>
          <w:szCs w:val="24"/>
        </w:rPr>
        <w:t xml:space="preserve">El tiempo promedio de traslado al trabajo es de 41 minutos, y a la escuela de 23 minutos.</w:t>
      </w:r>
    </w:p>
    <w:p>
      <w:pPr>
        <w:spacing w:after="160" w:line="320"/>
      </w:pPr>
      <w:r>
        <w:rPr>
          <w:rFonts w:ascii="Arial" w:cs="Arial" w:eastAsia="Arial" w:hAnsi="Arial"/>
          <w:b/>
          <w:bCs/>
          <w:sz w:val="24"/>
          <w:szCs w:val="24"/>
        </w:rPr>
        <w:t xml:space="preserve">Principales retos sociales:</w:t>
      </w:r>
    </w:p>
    <w:p>
      <w:pPr>
        <w:pStyle w:val="ListParagraph"/>
        <w:numPr>
          <w:ilvl w:val="0"/>
          <w:numId w:val="2"/>
        </w:numPr>
        <w:spacing w:after="80" w:line="300"/>
      </w:pPr>
      <w:r>
        <w:rPr>
          <w:rFonts w:ascii="Arial" w:cs="Arial" w:eastAsia="Arial" w:hAnsi="Arial"/>
          <w:b/>
          <w:bCs/>
          <w:sz w:val="24"/>
          <w:szCs w:val="24"/>
        </w:rPr>
        <w:t xml:space="preserve">Contraste entre pueblos y fraccionamientos:</w:t>
      </w:r>
      <w:r>
        <w:rPr>
          <w:rFonts w:ascii="Arial" w:cs="Arial" w:eastAsia="Arial" w:hAnsi="Arial"/>
          <w:sz w:val="24"/>
          <w:szCs w:val="24"/>
        </w:rPr>
        <w:t xml:space="preserve"> los pueblos originarios, como Tepexpan, San Juan Atlamica, Santa Catarina o Xometla, conservan fiestas patronales, mayordomías y redes familiares. Los nuevos fraccionamientos tienen población joven que trabaja fuera y participa menos en la vida comunitaria.</w:t>
      </w:r>
    </w:p>
    <w:p>
      <w:pPr>
        <w:pStyle w:val="ListParagraph"/>
        <w:numPr>
          <w:ilvl w:val="0"/>
          <w:numId w:val="2"/>
        </w:numPr>
        <w:spacing w:after="80" w:line="300"/>
      </w:pPr>
      <w:r>
        <w:rPr>
          <w:rFonts w:ascii="Arial" w:cs="Arial" w:eastAsia="Arial" w:hAnsi="Arial"/>
          <w:b/>
          <w:bCs/>
          <w:sz w:val="24"/>
          <w:szCs w:val="24"/>
        </w:rPr>
        <w:t xml:space="preserve">Movilidad:</w:t>
      </w:r>
      <w:r>
        <w:rPr>
          <w:rFonts w:ascii="Arial" w:cs="Arial" w:eastAsia="Arial" w:hAnsi="Arial"/>
          <w:sz w:val="24"/>
          <w:szCs w:val="24"/>
        </w:rPr>
        <w:t xml:space="preserve"> muchos habitantes dependen de la autopista México-Pirámides y de rutas de transporte que conectan con Ecatepec y la Ciudad de México.</w:t>
      </w:r>
    </w:p>
    <w:p>
      <w:pPr>
        <w:pStyle w:val="ListParagraph"/>
        <w:numPr>
          <w:ilvl w:val="0"/>
          <w:numId w:val="2"/>
        </w:numPr>
        <w:spacing w:after="80" w:line="300"/>
      </w:pPr>
      <w:r>
        <w:rPr>
          <w:rFonts w:ascii="Arial" w:cs="Arial" w:eastAsia="Arial" w:hAnsi="Arial"/>
          <w:b/>
          <w:bCs/>
          <w:sz w:val="24"/>
          <w:szCs w:val="24"/>
        </w:rPr>
        <w:t xml:space="preserve">Servicios urbanos:</w:t>
      </w:r>
      <w:r>
        <w:rPr>
          <w:rFonts w:ascii="Arial" w:cs="Arial" w:eastAsia="Arial" w:hAnsi="Arial"/>
          <w:sz w:val="24"/>
          <w:szCs w:val="24"/>
        </w:rPr>
        <w:t xml:space="preserve"> el crecimiento poblacional exige más agua, drenaje, escuelas y centros de salud.</w:t>
      </w:r>
    </w:p>
    <w:p>
      <w:pPr>
        <w:pStyle w:val="Heading1"/>
        <w:spacing w:after="120" w:before="320"/>
      </w:pPr>
      <w:r>
        <w:rPr>
          <w:rFonts w:ascii="Arial" w:cs="Arial" w:eastAsia="Arial" w:hAnsi="Arial"/>
          <w:b/>
          <w:bCs/>
          <w:color w:val="2E1A6B"/>
          <w:sz w:val="30"/>
          <w:szCs w:val="30"/>
        </w:rPr>
        <w:t xml:space="preserve">Contexto económico: comercio, artesanía, turismo y campo</w:t>
      </w:r>
    </w:p>
    <w:p>
      <w:pPr>
        <w:spacing w:after="160" w:line="320"/>
      </w:pPr>
      <w:r>
        <w:rPr>
          <w:rFonts w:ascii="Arial" w:cs="Arial" w:eastAsia="Arial" w:hAnsi="Arial"/>
          <w:sz w:val="24"/>
          <w:szCs w:val="24"/>
        </w:rPr>
        <w:t xml:space="preserve">La economía de Acolman combina actividades urbanas con otras que vienen de su tradición rural.</w:t>
      </w:r>
    </w:p>
    <w:p>
      <w:pPr>
        <w:spacing w:after="160" w:line="320"/>
      </w:pPr>
      <w:r>
        <w:rPr>
          <w:rFonts w:ascii="Arial" w:cs="Arial" w:eastAsia="Arial" w:hAnsi="Arial"/>
          <w:b/>
          <w:bCs/>
          <w:sz w:val="24"/>
          <w:szCs w:val="24"/>
        </w:rPr>
        <w:t xml:space="preserve">Comercio y servicios.</w:t>
      </w:r>
      <w:r>
        <w:rPr>
          <w:rFonts w:ascii="Arial" w:cs="Arial" w:eastAsia="Arial" w:hAnsi="Arial"/>
          <w:sz w:val="24"/>
          <w:szCs w:val="24"/>
        </w:rPr>
        <w:t xml:space="preserve"> Es la base económica del municipio. Abarca tiendas, mercados, talleres, restaurantes y servicios para la población local y para quienes pasan rumbo a Teotihuacán.</w:t>
      </w:r>
    </w:p>
    <w:p>
      <w:pPr>
        <w:spacing w:after="160" w:line="320"/>
      </w:pPr>
      <w:r>
        <w:rPr>
          <w:rFonts w:ascii="Arial" w:cs="Arial" w:eastAsia="Arial" w:hAnsi="Arial"/>
          <w:b/>
          <w:bCs/>
          <w:sz w:val="24"/>
          <w:szCs w:val="24"/>
        </w:rPr>
        <w:t xml:space="preserve">Artesanía de piñatas.</w:t>
      </w:r>
      <w:r>
        <w:rPr>
          <w:rFonts w:ascii="Arial" w:cs="Arial" w:eastAsia="Arial" w:hAnsi="Arial"/>
          <w:sz w:val="24"/>
          <w:szCs w:val="24"/>
        </w:rPr>
        <w:t xml:space="preserve"> Es una actividad económica única. Se calcula que más de cien familias de Acolman se dedican a fabricar piñatas, un oficio que se transmite de generación en generación. En 2023, las piñatas de Acolman obtuvieron el reconocimiento de marca registrada, lo que ayuda a proteger su origen y su valor comercial.</w:t>
      </w:r>
    </w:p>
    <w:p>
      <w:pPr>
        <w:spacing w:after="160" w:line="320"/>
      </w:pPr>
      <w:r>
        <w:rPr>
          <w:rFonts w:ascii="Arial" w:cs="Arial" w:eastAsia="Arial" w:hAnsi="Arial"/>
          <w:b/>
          <w:bCs/>
          <w:sz w:val="24"/>
          <w:szCs w:val="24"/>
        </w:rPr>
        <w:t xml:space="preserve">Turismo.</w:t>
      </w:r>
      <w:r>
        <w:rPr>
          <w:rFonts w:ascii="Arial" w:cs="Arial" w:eastAsia="Arial" w:hAnsi="Arial"/>
          <w:sz w:val="24"/>
          <w:szCs w:val="24"/>
        </w:rPr>
        <w:t xml:space="preserve"> El Ex Convento de San Agustín, la Feria de la Piñata y la cercanía con Teotihuacán atraen visitantes nacionales y extranjeros. Esto beneficia a restaurantes, artesanos, comerciantes y prestadores de servicios.</w:t>
      </w:r>
    </w:p>
    <w:p>
      <w:pPr>
        <w:spacing w:after="160" w:line="320"/>
      </w:pPr>
      <w:r>
        <w:rPr>
          <w:rFonts w:ascii="Arial" w:cs="Arial" w:eastAsia="Arial" w:hAnsi="Arial"/>
          <w:b/>
          <w:bCs/>
          <w:sz w:val="24"/>
          <w:szCs w:val="24"/>
        </w:rPr>
        <w:t xml:space="preserve">Agricultura.</w:t>
      </w:r>
      <w:r>
        <w:rPr>
          <w:rFonts w:ascii="Arial" w:cs="Arial" w:eastAsia="Arial" w:hAnsi="Arial"/>
          <w:sz w:val="24"/>
          <w:szCs w:val="24"/>
        </w:rPr>
        <w:t xml:space="preserve"> Aunque cada vez ocupa menos territorio por la urbanización, la actividad agrícola sigue presente en los ejidos y pueblos del municipio. Se siembran principalmente granos y forrajes para autoconsumo y venta local, y se conserva la producción de pulque, ligada a la cultura del maguey en el valle de Teotihuacán.</w:t>
      </w:r>
    </w:p>
    <w:p>
      <w:pPr>
        <w:spacing w:after="160" w:line="320"/>
      </w:pPr>
      <w:r>
        <w:rPr>
          <w:rFonts w:ascii="Arial" w:cs="Arial" w:eastAsia="Arial" w:hAnsi="Arial"/>
          <w:b/>
          <w:bCs/>
          <w:sz w:val="24"/>
          <w:szCs w:val="24"/>
        </w:rPr>
        <w:t xml:space="preserve">Gastronomía como economía local.</w:t>
      </w:r>
      <w:r>
        <w:rPr>
          <w:rFonts w:ascii="Arial" w:cs="Arial" w:eastAsia="Arial" w:hAnsi="Arial"/>
          <w:sz w:val="24"/>
          <w:szCs w:val="24"/>
        </w:rPr>
        <w:t xml:space="preserve"> En el mercado municipal y en los puestos alrededor del convento se venden mixiotes, barbacoa, consomé, mole de guajolote y pulque, platillos que forman parte del atractivo turístico del pueblo.</w:t>
      </w:r>
    </w:p>
    <w:p>
      <w:pPr>
        <w:pStyle w:val="Heading1"/>
        <w:spacing w:after="120" w:before="320"/>
      </w:pPr>
      <w:r>
        <w:rPr>
          <w:rFonts w:ascii="Arial" w:cs="Arial" w:eastAsia="Arial" w:hAnsi="Arial"/>
          <w:b/>
          <w:bCs/>
          <w:color w:val="2E1A6B"/>
          <w:sz w:val="30"/>
          <w:szCs w:val="30"/>
        </w:rPr>
        <w:t xml:space="preserve">Contexto cultural: la cuna de las posadas y las piñatas</w:t>
      </w:r>
    </w:p>
    <w:p>
      <w:pPr>
        <w:spacing w:after="160" w:line="320"/>
      </w:pPr>
      <w:r>
        <w:rPr>
          <w:rFonts w:ascii="Arial" w:cs="Arial" w:eastAsia="Arial" w:hAnsi="Arial"/>
          <w:b/>
          <w:bCs/>
          <w:sz w:val="24"/>
          <w:szCs w:val="24"/>
        </w:rPr>
        <w:t xml:space="preserve">Las misas de aguinaldo y las posadas.</w:t>
      </w:r>
      <w:r>
        <w:rPr>
          <w:rFonts w:ascii="Arial" w:cs="Arial" w:eastAsia="Arial" w:hAnsi="Arial"/>
          <w:sz w:val="24"/>
          <w:szCs w:val="24"/>
        </w:rPr>
        <w:t xml:space="preserve"> En el siglo XVI, fray Diego de Soria, prior del convento de San Agustín, obtuvo un permiso papal para celebrar en los días previos a la Navidad las llamadas </w:t>
      </w:r>
      <w:r>
        <w:rPr>
          <w:rFonts w:ascii="Arial" w:cs="Arial" w:eastAsia="Arial" w:hAnsi="Arial"/>
          <w:b/>
          <w:bCs/>
          <w:sz w:val="24"/>
          <w:szCs w:val="24"/>
        </w:rPr>
        <w:t xml:space="preserve">misas de aguinaldo</w:t>
      </w:r>
      <w:r>
        <w:rPr>
          <w:rFonts w:ascii="Arial" w:cs="Arial" w:eastAsia="Arial" w:hAnsi="Arial"/>
          <w:sz w:val="24"/>
          <w:szCs w:val="24"/>
        </w:rPr>
        <w:t xml:space="preserve">. Con el tiempo, estas celebraciones dieron origen a las posadas mexicanas.</w:t>
      </w:r>
    </w:p>
    <w:p>
      <w:pPr>
        <w:spacing w:after="160" w:line="320"/>
      </w:pPr>
      <w:r>
        <w:rPr>
          <w:rFonts w:ascii="Arial" w:cs="Arial" w:eastAsia="Arial" w:hAnsi="Arial"/>
          <w:b/>
          <w:bCs/>
          <w:sz w:val="24"/>
          <w:szCs w:val="24"/>
        </w:rPr>
        <w:t xml:space="preserve">La piñata de siete picos.</w:t>
      </w:r>
      <w:r>
        <w:rPr>
          <w:rFonts w:ascii="Arial" w:cs="Arial" w:eastAsia="Arial" w:hAnsi="Arial"/>
          <w:sz w:val="24"/>
          <w:szCs w:val="24"/>
        </w:rPr>
        <w:t xml:space="preserve"> Los frailes agustinos usaron la piñata como herramienta de evangelización. Cada uno de sus siete picos representaba un pecado capital; romperla simbolizaba vencer al mal, y los dulces y frutas que caían representaban la recompensa. Por eso Acolman es reconocido como </w:t>
      </w:r>
      <w:r>
        <w:rPr>
          <w:rFonts w:ascii="Arial" w:cs="Arial" w:eastAsia="Arial" w:hAnsi="Arial"/>
          <w:b/>
          <w:bCs/>
          <w:sz w:val="24"/>
          <w:szCs w:val="24"/>
        </w:rPr>
        <w:t xml:space="preserve">la cuna de la piñata navideña</w:t>
      </w:r>
      <w:r>
        <w:rPr>
          <w:rFonts w:ascii="Arial" w:cs="Arial" w:eastAsia="Arial" w:hAnsi="Arial"/>
          <w:sz w:val="24"/>
          <w:szCs w:val="24"/>
        </w:rPr>
        <w:t xml:space="preserve"> en México.</w:t>
      </w:r>
    </w:p>
    <w:p>
      <w:pPr>
        <w:spacing w:after="160" w:line="320"/>
      </w:pPr>
      <w:r>
        <w:rPr>
          <w:rFonts w:ascii="Arial" w:cs="Arial" w:eastAsia="Arial" w:hAnsi="Arial"/>
          <w:b/>
          <w:bCs/>
          <w:sz w:val="24"/>
          <w:szCs w:val="24"/>
        </w:rPr>
        <w:t xml:space="preserve">Feria Internacional de la Piñata.</w:t>
      </w:r>
      <w:r>
        <w:rPr>
          <w:rFonts w:ascii="Arial" w:cs="Arial" w:eastAsia="Arial" w:hAnsi="Arial"/>
          <w:sz w:val="24"/>
          <w:szCs w:val="24"/>
        </w:rPr>
        <w:t xml:space="preserve"> Se realiza desde 1985 cada mes de diciembre, en la plaza frente al ex convento, con concursos de piñatas, bailes, conciertos, comida y juegos mecánicos.</w:t>
      </w:r>
    </w:p>
    <w:p>
      <w:pPr>
        <w:spacing w:after="160" w:line="320"/>
      </w:pPr>
      <w:r>
        <w:rPr>
          <w:rFonts w:ascii="Arial" w:cs="Arial" w:eastAsia="Arial" w:hAnsi="Arial"/>
          <w:b/>
          <w:bCs/>
          <w:sz w:val="24"/>
          <w:szCs w:val="24"/>
        </w:rPr>
        <w:t xml:space="preserve">Patrimonio artístico.</w:t>
      </w:r>
      <w:r>
        <w:rPr>
          <w:rFonts w:ascii="Arial" w:cs="Arial" w:eastAsia="Arial" w:hAnsi="Arial"/>
          <w:sz w:val="24"/>
          <w:szCs w:val="24"/>
        </w:rPr>
        <w:t xml:space="preserve"> El Ex Convento de San Agustín conserva pintura mural del siglo XVI, esculturas y objetos religiosos de varios siglos, y cuenta con un museo de sitio. En el Palacio Municipal hay murales que narran la historia de las piñatas, y en la Casa de Cultura y la Biblioteca Central se exhibe obra del artista local Parmeno.</w:t>
      </w:r>
    </w:p>
    <w:p>
      <w:pPr>
        <w:spacing w:after="160" w:line="320"/>
      </w:pPr>
      <w:r>
        <w:rPr>
          <w:rFonts w:ascii="Arial" w:cs="Arial" w:eastAsia="Arial" w:hAnsi="Arial"/>
          <w:b/>
          <w:bCs/>
          <w:sz w:val="24"/>
          <w:szCs w:val="24"/>
        </w:rPr>
        <w:t xml:space="preserve">Fiestas patronales.</w:t>
      </w:r>
      <w:r>
        <w:rPr>
          <w:rFonts w:ascii="Arial" w:cs="Arial" w:eastAsia="Arial" w:hAnsi="Arial"/>
          <w:sz w:val="24"/>
          <w:szCs w:val="24"/>
        </w:rPr>
        <w:t xml:space="preserve"> Cada pueblo del municipio tiene su propia celebración, con procesiones, danzas, bandas de música y comida compartida. Estas fiestas son uno de los principales espacios de identidad comunitaria.</w:t>
      </w:r>
    </w:p>
    <w:p>
      <w:pPr>
        <w:pStyle w:val="Heading1"/>
        <w:spacing w:after="120" w:before="320"/>
      </w:pPr>
      <w:r>
        <w:rPr>
          <w:rFonts w:ascii="Arial" w:cs="Arial" w:eastAsia="Arial" w:hAnsi="Arial"/>
          <w:b/>
          <w:bCs/>
          <w:color w:val="2E1A6B"/>
          <w:sz w:val="30"/>
          <w:szCs w:val="30"/>
        </w:rPr>
        <w:t xml:space="preserve">Perspectiva 2026: tradición frente a urbanización</w:t>
      </w:r>
    </w:p>
    <w:p>
      <w:pPr>
        <w:spacing w:after="160" w:line="320"/>
      </w:pPr>
      <w:r>
        <w:rPr>
          <w:rFonts w:ascii="Arial" w:cs="Arial" w:eastAsia="Arial" w:hAnsi="Arial"/>
          <w:sz w:val="24"/>
          <w:szCs w:val="24"/>
        </w:rPr>
        <w:t xml:space="preserve">Acolman es un ejemplo de cómo un municipio puede crecer sin perder su identidad, aunque no es un equilibrio sencillo. Sus principales desafíos son:</w:t>
      </w:r>
    </w:p>
    <w:p>
      <w:pPr>
        <w:pStyle w:val="ListParagraph"/>
        <w:numPr>
          <w:ilvl w:val="0"/>
          <w:numId w:val="2"/>
        </w:numPr>
        <w:spacing w:after="80" w:line="300"/>
      </w:pPr>
      <w:r>
        <w:rPr>
          <w:rFonts w:ascii="Arial" w:cs="Arial" w:eastAsia="Arial" w:hAnsi="Arial"/>
          <w:sz w:val="24"/>
          <w:szCs w:val="24"/>
        </w:rPr>
        <w:t xml:space="preserve">Conservar el patrimonio histórico y artesanal frente al crecimiento urbano.</w:t>
      </w:r>
    </w:p>
    <w:p>
      <w:pPr>
        <w:pStyle w:val="ListParagraph"/>
        <w:numPr>
          <w:ilvl w:val="0"/>
          <w:numId w:val="2"/>
        </w:numPr>
        <w:spacing w:after="80" w:line="300"/>
      </w:pPr>
      <w:r>
        <w:rPr>
          <w:rFonts w:ascii="Arial" w:cs="Arial" w:eastAsia="Arial" w:hAnsi="Arial"/>
          <w:sz w:val="24"/>
          <w:szCs w:val="24"/>
        </w:rPr>
        <w:t xml:space="preserve">Aprovechar el turismo cultural para generar empleo local durante todo el año, no solo en diciembre.</w:t>
      </w:r>
    </w:p>
    <w:p>
      <w:pPr>
        <w:pStyle w:val="ListParagraph"/>
        <w:numPr>
          <w:ilvl w:val="0"/>
          <w:numId w:val="2"/>
        </w:numPr>
        <w:spacing w:after="80" w:line="300"/>
      </w:pPr>
      <w:r>
        <w:rPr>
          <w:rFonts w:ascii="Arial" w:cs="Arial" w:eastAsia="Arial" w:hAnsi="Arial"/>
          <w:sz w:val="24"/>
          <w:szCs w:val="24"/>
        </w:rPr>
        <w:t xml:space="preserve">Integrar a los habitantes de los nuevos fraccionamientos a la vida cultural de los pueblos originarios.</w:t>
      </w:r>
    </w:p>
    <w:p>
      <w:pPr>
        <w:pStyle w:val="ListParagraph"/>
        <w:numPr>
          <w:ilvl w:val="0"/>
          <w:numId w:val="2"/>
        </w:numPr>
        <w:spacing w:after="80" w:line="300"/>
      </w:pPr>
      <w:r>
        <w:rPr>
          <w:rFonts w:ascii="Arial" w:cs="Arial" w:eastAsia="Arial" w:hAnsi="Arial"/>
          <w:sz w:val="24"/>
          <w:szCs w:val="24"/>
        </w:rPr>
        <w:t xml:space="preserve">Proteger las tierras agrícolas que todavía quedan y la cultura del maguey.</w:t>
      </w:r>
    </w:p>
    <w:p>
      <w:pPr>
        <w:pStyle w:val="Heading1"/>
        <w:spacing w:after="120" w:before="320"/>
      </w:pPr>
      <w:r>
        <w:rPr>
          <w:rFonts w:ascii="Arial" w:cs="Arial" w:eastAsia="Arial" w:hAnsi="Arial"/>
          <w:b/>
          <w:bCs/>
          <w:color w:val="2E1A6B"/>
          <w:sz w:val="30"/>
          <w:szCs w:val="30"/>
        </w:rPr>
        <w:t xml:space="preserve">Cómo usar este contexto en tu trabajo escolar</w:t>
      </w:r>
    </w:p>
    <w:p>
      <w:pPr>
        <w:spacing w:after="160" w:line="320"/>
      </w:pPr>
      <w:r>
        <w:rPr>
          <w:rFonts w:ascii="Arial" w:cs="Arial" w:eastAsia="Arial" w:hAnsi="Arial"/>
          <w:sz w:val="24"/>
          <w:szCs w:val="24"/>
        </w:rPr>
        <w:t xml:space="preserve">Si vas a usar este análisis en tu </w:t>
      </w:r>
      <w:r>
        <w:rPr>
          <w:rFonts w:ascii="Arial" w:cs="Arial" w:eastAsia="Arial" w:hAnsi="Arial"/>
          <w:b/>
          <w:bCs/>
          <w:sz w:val="24"/>
          <w:szCs w:val="24"/>
        </w:rPr>
        <w:t xml:space="preserve">memoria de trabajo</w:t>
      </w:r>
      <w:r>
        <w:rPr>
          <w:rFonts w:ascii="Arial" w:cs="Arial" w:eastAsia="Arial" w:hAnsi="Arial"/>
          <w:sz w:val="24"/>
          <w:szCs w:val="24"/>
        </w:rPr>
        <w:t xml:space="preserve">, tu proyecto escolar o una investigación:</w:t>
      </w:r>
    </w:p>
    <w:p>
      <w:pPr>
        <w:pStyle w:val="ListParagraph"/>
        <w:numPr>
          <w:ilvl w:val="0"/>
          <w:numId w:val="3"/>
        </w:numPr>
        <w:spacing w:after="80" w:line="300"/>
      </w:pPr>
      <w:r>
        <w:rPr>
          <w:rFonts w:ascii="Arial" w:cs="Arial" w:eastAsia="Arial" w:hAnsi="Arial"/>
          <w:sz w:val="24"/>
          <w:szCs w:val="24"/>
        </w:rPr>
        <w:t xml:space="preserve">Descarga la ficha en Word que acompaña esta entrada.</w:t>
      </w:r>
    </w:p>
    <w:p>
      <w:pPr>
        <w:pStyle w:val="ListParagraph"/>
        <w:numPr>
          <w:ilvl w:val="0"/>
          <w:numId w:val="3"/>
        </w:numPr>
        <w:spacing w:after="80" w:line="300"/>
      </w:pPr>
      <w:r>
        <w:rPr>
          <w:rFonts w:ascii="Arial" w:cs="Arial" w:eastAsia="Arial" w:hAnsi="Arial"/>
          <w:sz w:val="24"/>
          <w:szCs w:val="24"/>
        </w:rPr>
        <w:t xml:space="preserve">Agrega los datos de tu localidad específica (Tepexpan, Acolman centro, tu pueblo o fraccionamiento).</w:t>
      </w:r>
    </w:p>
    <w:p>
      <w:pPr>
        <w:pStyle w:val="ListParagraph"/>
        <w:numPr>
          <w:ilvl w:val="0"/>
          <w:numId w:val="3"/>
        </w:numPr>
        <w:spacing w:after="80" w:line="300"/>
      </w:pPr>
      <w:r>
        <w:rPr>
          <w:rFonts w:ascii="Arial" w:cs="Arial" w:eastAsia="Arial" w:hAnsi="Arial"/>
          <w:sz w:val="24"/>
          <w:szCs w:val="24"/>
        </w:rPr>
        <w:t xml:space="preserve">Cita las fuentes que aparecen abajo en formato APA 7.</w:t>
      </w:r>
    </w:p>
    <w:p>
      <w:pPr>
        <w:pStyle w:val="Heading1"/>
        <w:spacing w:after="120" w:before="320"/>
      </w:pPr>
      <w:r>
        <w:rPr>
          <w:rFonts w:ascii="Arial" w:cs="Arial" w:eastAsia="Arial" w:hAnsi="Arial"/>
          <w:b/>
          <w:bCs/>
          <w:color w:val="2E1A6B"/>
          <w:sz w:val="30"/>
          <w:szCs w:val="30"/>
        </w:rPr>
        <w:t xml:space="preserve">Cómo citar este artículo (APA 7)</w:t>
      </w:r>
    </w:p>
    <w:p>
      <w:pPr>
        <w:spacing w:after="160" w:line="360"/>
        <w:ind w:left="720" w:hanging="720"/>
      </w:pPr>
      <w:r>
        <w:rPr>
          <w:rFonts w:ascii="Arial" w:cs="Arial" w:eastAsia="Arial" w:hAnsi="Arial"/>
          <w:sz w:val="24"/>
          <w:szCs w:val="24"/>
        </w:rPr>
        <w:t xml:space="preserve">Arciniega, F. (2026). </w:t>
      </w:r>
      <w:r>
        <w:rPr>
          <w:rFonts w:ascii="Arial" w:cs="Arial" w:eastAsia="Arial" w:hAnsi="Arial"/>
          <w:i/>
          <w:iCs/>
          <w:sz w:val="24"/>
          <w:szCs w:val="24"/>
        </w:rPr>
        <w:t xml:space="preserve">Contexto social, económico y cultural de Acolman, Estado de México (Actualización 2026)</w:t>
      </w:r>
      <w:r>
        <w:rPr>
          <w:rFonts w:ascii="Arial" w:cs="Arial" w:eastAsia="Arial" w:hAnsi="Arial"/>
          <w:sz w:val="24"/>
          <w:szCs w:val="24"/>
        </w:rPr>
        <w:t xml:space="preserve">. Profe Arci. https://fernandoarciniega.com/contexto-social-economico-y-cultural-de-acolman-estado-de-mexico-2026/</w:t>
      </w:r>
    </w:p>
    <w:p>
      <w:pPr>
        <w:pStyle w:val="Heading1"/>
        <w:spacing w:after="120" w:before="320"/>
      </w:pPr>
      <w:r>
        <w:rPr>
          <w:rFonts w:ascii="Arial" w:cs="Arial" w:eastAsia="Arial" w:hAnsi="Arial"/>
          <w:b/>
          <w:bCs/>
          <w:color w:val="2E1A6B"/>
          <w:sz w:val="30"/>
          <w:szCs w:val="30"/>
        </w:rPr>
        <w:t xml:space="preserve">Referencias</w:t>
      </w:r>
    </w:p>
    <w:p>
      <w:pPr>
        <w:spacing w:after="160" w:line="360"/>
        <w:ind w:left="720" w:hanging="720"/>
      </w:pPr>
      <w:r>
        <w:rPr>
          <w:rFonts w:ascii="Arial" w:cs="Arial" w:eastAsia="Arial" w:hAnsi="Arial"/>
          <w:sz w:val="24"/>
          <w:szCs w:val="24"/>
        </w:rPr>
        <w:t xml:space="preserve">Chilango. (s.f.). </w:t>
      </w:r>
      <w:r>
        <w:rPr>
          <w:rFonts w:ascii="Arial" w:cs="Arial" w:eastAsia="Arial" w:hAnsi="Arial"/>
          <w:i/>
          <w:iCs/>
          <w:sz w:val="24"/>
          <w:szCs w:val="24"/>
        </w:rPr>
        <w:t xml:space="preserve">¡Ve por piñatas navideñas al lugar donde se inventaron! Conoce Acolman y a sus artesanos</w:t>
      </w:r>
      <w:r>
        <w:rPr>
          <w:rFonts w:ascii="Arial" w:cs="Arial" w:eastAsia="Arial" w:hAnsi="Arial"/>
          <w:sz w:val="24"/>
          <w:szCs w:val="24"/>
        </w:rPr>
        <w:t xml:space="preserve">. https://www.chilango.com/noticias/ve-por-pinatas-navidenas-al-lugar-donde-se-inventaron-conoce-acolman-y-a-sus-artesanos/</w:t>
      </w:r>
    </w:p>
    <w:p>
      <w:pPr>
        <w:spacing w:after="160" w:line="360"/>
        <w:ind w:left="720" w:hanging="720"/>
      </w:pPr>
      <w:r>
        <w:rPr>
          <w:rFonts w:ascii="Arial" w:cs="Arial" w:eastAsia="Arial" w:hAnsi="Arial"/>
          <w:sz w:val="24"/>
          <w:szCs w:val="24"/>
        </w:rPr>
        <w:t xml:space="preserve">Gobierno del Estado de México. (2018). </w:t>
      </w:r>
      <w:r>
        <w:rPr>
          <w:rFonts w:ascii="Arial" w:cs="Arial" w:eastAsia="Arial" w:hAnsi="Arial"/>
          <w:i/>
          <w:iCs/>
          <w:sz w:val="24"/>
          <w:szCs w:val="24"/>
        </w:rPr>
        <w:t xml:space="preserve">Acolman, Pueblo con Encanto</w:t>
      </w:r>
      <w:r>
        <w:rPr>
          <w:rFonts w:ascii="Arial" w:cs="Arial" w:eastAsia="Arial" w:hAnsi="Arial"/>
          <w:sz w:val="24"/>
          <w:szCs w:val="24"/>
        </w:rPr>
        <w:t xml:space="preserve">. Fondo Editorial Estado de México. https://foem.edomex.gob.mx/sites/foem.edomex.gob.mx/files/catalogo/Acolman.pdf</w:t>
      </w:r>
    </w:p>
    <w:p>
      <w:pPr>
        <w:spacing w:after="160" w:line="360"/>
        <w:ind w:left="720" w:hanging="720"/>
      </w:pPr>
      <w:r>
        <w:rPr>
          <w:rFonts w:ascii="Arial" w:cs="Arial" w:eastAsia="Arial" w:hAnsi="Arial"/>
          <w:sz w:val="24"/>
          <w:szCs w:val="24"/>
        </w:rPr>
        <w:t xml:space="preserve">Instituto Nacional de Estadística y Geografía. (2021). </w:t>
      </w:r>
      <w:r>
        <w:rPr>
          <w:rFonts w:ascii="Arial" w:cs="Arial" w:eastAsia="Arial" w:hAnsi="Arial"/>
          <w:i/>
          <w:iCs/>
          <w:sz w:val="24"/>
          <w:szCs w:val="24"/>
        </w:rPr>
        <w:t xml:space="preserve">Censo de Población y Vivienda 2020</w:t>
      </w:r>
      <w:r>
        <w:rPr>
          <w:rFonts w:ascii="Arial" w:cs="Arial" w:eastAsia="Arial" w:hAnsi="Arial"/>
          <w:sz w:val="24"/>
          <w:szCs w:val="24"/>
        </w:rPr>
        <w:t xml:space="preserve">. INEGI. https://www.inegi.org.mx/programas/ccpv/2020/</w:t>
      </w:r>
    </w:p>
    <w:p>
      <w:pPr>
        <w:spacing w:after="160" w:line="360"/>
        <w:ind w:left="720" w:hanging="720"/>
      </w:pPr>
      <w:r>
        <w:rPr>
          <w:rFonts w:ascii="Arial" w:cs="Arial" w:eastAsia="Arial" w:hAnsi="Arial"/>
          <w:sz w:val="24"/>
          <w:szCs w:val="24"/>
        </w:rPr>
        <w:t xml:space="preserve">México Desconocido. (s.f.). </w:t>
      </w:r>
      <w:r>
        <w:rPr>
          <w:rFonts w:ascii="Arial" w:cs="Arial" w:eastAsia="Arial" w:hAnsi="Arial"/>
          <w:i/>
          <w:iCs/>
          <w:sz w:val="24"/>
          <w:szCs w:val="24"/>
        </w:rPr>
        <w:t xml:space="preserve">Acolman, cuna de las piñatas navideñas en México</w:t>
      </w:r>
      <w:r>
        <w:rPr>
          <w:rFonts w:ascii="Arial" w:cs="Arial" w:eastAsia="Arial" w:hAnsi="Arial"/>
          <w:sz w:val="24"/>
          <w:szCs w:val="24"/>
        </w:rPr>
        <w:t xml:space="preserve">. https://www.mexicodesconocido.com.mx/historia-de-las-pinatas-navidenas-en-mexico.html</w:t>
      </w:r>
    </w:p>
    <w:p>
      <w:pPr>
        <w:spacing w:after="160" w:line="360"/>
        <w:ind w:left="720" w:hanging="720"/>
      </w:pPr>
      <w:r>
        <w:rPr>
          <w:rFonts w:ascii="Arial" w:cs="Arial" w:eastAsia="Arial" w:hAnsi="Arial"/>
          <w:sz w:val="24"/>
          <w:szCs w:val="24"/>
        </w:rPr>
        <w:t xml:space="preserve">Rivas Velázquez, J. C. (2013). La historia de una institución, la historia de un pueblo. </w:t>
      </w:r>
      <w:r>
        <w:rPr>
          <w:rFonts w:ascii="Arial" w:cs="Arial" w:eastAsia="Arial" w:hAnsi="Arial"/>
          <w:i/>
          <w:iCs/>
          <w:sz w:val="24"/>
          <w:szCs w:val="24"/>
        </w:rPr>
        <w:t xml:space="preserve">Margen</w:t>
      </w:r>
      <w:r>
        <w:rPr>
          <w:rFonts w:ascii="Arial" w:cs="Arial" w:eastAsia="Arial" w:hAnsi="Arial"/>
          <w:sz w:val="24"/>
          <w:szCs w:val="24"/>
        </w:rPr>
        <w:t xml:space="preserve">, (69). https://www.margen.org/suscri/margen69/rivas.pdf</w:t>
      </w:r>
    </w:p>
    <w:p>
      <w:pPr>
        <w:spacing w:after="160" w:line="360"/>
        <w:ind w:left="720" w:hanging="720"/>
      </w:pPr>
      <w:r>
        <w:rPr>
          <w:rFonts w:ascii="Arial" w:cs="Arial" w:eastAsia="Arial" w:hAnsi="Arial"/>
          <w:sz w:val="24"/>
          <w:szCs w:val="24"/>
        </w:rPr>
        <w:t xml:space="preserve">Secretaría de Economía. (2026). </w:t>
      </w:r>
      <w:r>
        <w:rPr>
          <w:rFonts w:ascii="Arial" w:cs="Arial" w:eastAsia="Arial" w:hAnsi="Arial"/>
          <w:i/>
          <w:iCs/>
          <w:sz w:val="24"/>
          <w:szCs w:val="24"/>
        </w:rPr>
        <w:t xml:space="preserve">Acolman: Municipio de Estado de México</w:t>
      </w:r>
      <w:r>
        <w:rPr>
          <w:rFonts w:ascii="Arial" w:cs="Arial" w:eastAsia="Arial" w:hAnsi="Arial"/>
          <w:sz w:val="24"/>
          <w:szCs w:val="24"/>
        </w:rPr>
        <w:t xml:space="preserve">. Data México. https://www.economia.gob.mx/datamexico/es/profile/geo/acolman</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8"/>
        <w:szCs w:val="18"/>
      </w:rPr>
      <w:t xml:space="preserve">Profe Arci · fernandoarciniega.com · Página </w:t>
    </w:r>
    <w:r>
      <w:rPr>
        <w:rFonts w:ascii="Arial" w:cs="Arial" w:eastAsia="Arial" w:hAnsi="Arial"/>
        <w:color w:val="7777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Arial" w:cs="Arial" w:eastAsia="Arial" w:hAnsi="Arial"/>
      <w:b/>
      <w:bCs/>
      <w:sz w:val="40"/>
      <w:szCs w:val="40"/>
    </w:rPr>
  </w:style>
  <w:style w:type="paragraph" w:styleId="Heading1">
    <w:name w:val="Heading 1"/>
    <w:basedOn w:val="Normal"/>
    <w:next w:val="Normal"/>
    <w:qFormat/>
    <w:pPr>
      <w:outlineLvl w:val="0"/>
    </w:pPr>
    <w:rPr>
      <w:rFonts w:ascii="Arial" w:cs="Arial" w:eastAsia="Arial" w:hAnsi="Arial"/>
      <w:b/>
      <w:bCs/>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Contexto Social, Económico y Cultural de Acolman, Estado de México (Actualización 2026)</dc:title>
  <dc:creator>Mtro. Fernando Arciniega</dc:creator>
  <cp:lastModifiedBy>Un-named</cp:lastModifiedBy>
  <cp:revision>1</cp:revision>
  <dcterms:created xsi:type="dcterms:W3CDTF">2026-10-29T22:00:12.637Z</dcterms:created>
  <dcterms:modified xsi:type="dcterms:W3CDTF">2026-10-29T22:00:12.637Z</dcterms:modified>
</cp:coreProperties>
</file>

<file path=docProps/custom.xml><?xml version="1.0" encoding="utf-8"?>
<Properties xmlns="http://schemas.openxmlformats.org/officeDocument/2006/custom-properties" xmlns:vt="http://schemas.openxmlformats.org/officeDocument/2006/docPropsVTypes"/>
</file>