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rPr>
          <w:rFonts w:ascii="Arial" w:cs="Arial" w:eastAsia="Arial" w:hAnsi="Arial"/>
          <w:b/>
          <w:bCs/>
          <w:color w:val="5B2BC9"/>
          <w:sz w:val="40"/>
          <w:szCs w:val="40"/>
        </w:rPr>
        <w:t xml:space="preserve">Contexto Social, Económico y Cultural de Ojo de Agua, Tecámac, Estado de México (Actualización 2026)</w:t>
      </w:r>
    </w:p>
    <w:p>
      <w:pPr>
        <w:pBdr>
          <w:bottom w:val="single" w:color="5B2BC9" w:sz="8" w:space="6"/>
        </w:pBdr>
        <w:spacing w:after="360"/>
      </w:pPr>
      <w:r>
        <w:rPr>
          <w:rFonts w:ascii="Arial" w:cs="Arial" w:eastAsia="Arial" w:hAnsi="Arial"/>
          <w:color w:val="555555"/>
          <w:sz w:val="20"/>
          <w:szCs w:val="20"/>
        </w:rPr>
        <w:t xml:space="preserve">Mtro. Fernando Arciniega · Profe Arci · fernandoarciniega.com</w:t>
      </w:r>
    </w:p>
    <w:p>
      <w:pPr>
        <w:spacing w:after="160" w:line="320"/>
      </w:pPr>
      <w:r>
        <w:rPr>
          <w:rFonts w:ascii="Arial" w:cs="Arial" w:eastAsia="Arial" w:hAnsi="Arial"/>
          <w:sz w:val="24"/>
          <w:szCs w:val="24"/>
        </w:rPr>
        <w:t xml:space="preserve">Si vives en Tecámac o estudias en alguna escuela de la zona, seguramente te han pedido describir el contexto de tu comunidad. Ojo de Agua es un caso muy particular: no es un municipio, sino una localidad de Tecámac, y aun así tiene más habitantes que muchas ciudades del país. En este artículo te explico su contexto social, económico y cultural con datos actualizados, para que puedas usarlo en tu memoria de trabajo, tu proyecto escolar o simplemente para conocer mejor el lugar donde vives.</w:t>
      </w:r>
    </w:p>
    <w:p>
      <w:pPr>
        <w:pStyle w:val="Heading1"/>
        <w:spacing w:after="120" w:before="320"/>
      </w:pPr>
      <w:r>
        <w:rPr>
          <w:rFonts w:ascii="Arial" w:cs="Arial" w:eastAsia="Arial" w:hAnsi="Arial"/>
          <w:b/>
          <w:bCs/>
          <w:color w:val="2E1A6B"/>
          <w:sz w:val="30"/>
          <w:szCs w:val="30"/>
        </w:rPr>
        <w:t xml:space="preserve">Datos generales de Ojo de Agua</w:t>
      </w:r>
    </w:p>
    <w:p>
      <w:pPr>
        <w:pStyle w:val="ListParagraph"/>
        <w:numPr>
          <w:ilvl w:val="0"/>
          <w:numId w:val="2"/>
        </w:numPr>
        <w:spacing w:after="80" w:line="300"/>
      </w:pPr>
      <w:r>
        <w:rPr>
          <w:rFonts w:ascii="Arial" w:cs="Arial" w:eastAsia="Arial" w:hAnsi="Arial"/>
          <w:b/>
          <w:bCs/>
          <w:sz w:val="24"/>
          <w:szCs w:val="24"/>
        </w:rPr>
        <w:t xml:space="preserve">Ubicación:</w:t>
      </w:r>
      <w:r>
        <w:rPr>
          <w:rFonts w:ascii="Arial" w:cs="Arial" w:eastAsia="Arial" w:hAnsi="Arial"/>
          <w:sz w:val="24"/>
          <w:szCs w:val="24"/>
        </w:rPr>
        <w:t xml:space="preserve"> noreste del Estado de México, dentro del municipio de Tecámac y de la Zona Metropolitana del Valle de México.</w:t>
      </w:r>
    </w:p>
    <w:p>
      <w:pPr>
        <w:pStyle w:val="ListParagraph"/>
        <w:numPr>
          <w:ilvl w:val="0"/>
          <w:numId w:val="2"/>
        </w:numPr>
        <w:spacing w:after="80" w:line="300"/>
      </w:pPr>
      <w:r>
        <w:rPr>
          <w:rFonts w:ascii="Arial" w:cs="Arial" w:eastAsia="Arial" w:hAnsi="Arial"/>
          <w:b/>
          <w:bCs/>
          <w:sz w:val="24"/>
          <w:szCs w:val="24"/>
        </w:rPr>
        <w:t xml:space="preserve">Población:</w:t>
      </w:r>
      <w:r>
        <w:rPr>
          <w:rFonts w:ascii="Arial" w:cs="Arial" w:eastAsia="Arial" w:hAnsi="Arial"/>
          <w:sz w:val="24"/>
          <w:szCs w:val="24"/>
        </w:rPr>
        <w:t xml:space="preserve"> 386,290 habitantes, según el Censo de Población y Vivienda 2020 del INEGI. Es la localidad más poblada de Tecámac.</w:t>
      </w:r>
    </w:p>
    <w:p>
      <w:pPr>
        <w:pStyle w:val="ListParagraph"/>
        <w:numPr>
          <w:ilvl w:val="0"/>
          <w:numId w:val="2"/>
        </w:numPr>
        <w:spacing w:after="80" w:line="300"/>
      </w:pPr>
      <w:r>
        <w:rPr>
          <w:rFonts w:ascii="Arial" w:cs="Arial" w:eastAsia="Arial" w:hAnsi="Arial"/>
          <w:b/>
          <w:bCs/>
          <w:sz w:val="24"/>
          <w:szCs w:val="24"/>
        </w:rPr>
        <w:t xml:space="preserve">Altitud:</w:t>
      </w:r>
      <w:r>
        <w:rPr>
          <w:rFonts w:ascii="Arial" w:cs="Arial" w:eastAsia="Arial" w:hAnsi="Arial"/>
          <w:sz w:val="24"/>
          <w:szCs w:val="24"/>
        </w:rPr>
        <w:t xml:space="preserve"> alrededor de 2,250 metros sobre el nivel del mar.</w:t>
      </w:r>
    </w:p>
    <w:p>
      <w:pPr>
        <w:pStyle w:val="ListParagraph"/>
        <w:numPr>
          <w:ilvl w:val="0"/>
          <w:numId w:val="2"/>
        </w:numPr>
        <w:spacing w:after="80" w:line="300"/>
      </w:pPr>
      <w:r>
        <w:rPr>
          <w:rFonts w:ascii="Arial" w:cs="Arial" w:eastAsia="Arial" w:hAnsi="Arial"/>
          <w:b/>
          <w:bCs/>
          <w:sz w:val="24"/>
          <w:szCs w:val="24"/>
        </w:rPr>
        <w:t xml:space="preserve">Código postal principal:</w:t>
      </w:r>
      <w:r>
        <w:rPr>
          <w:rFonts w:ascii="Arial" w:cs="Arial" w:eastAsia="Arial" w:hAnsi="Arial"/>
          <w:sz w:val="24"/>
          <w:szCs w:val="24"/>
        </w:rPr>
        <w:t xml:space="preserve"> 55770.</w:t>
      </w:r>
    </w:p>
    <w:p>
      <w:pPr>
        <w:pStyle w:val="ListParagraph"/>
        <w:numPr>
          <w:ilvl w:val="0"/>
          <w:numId w:val="2"/>
        </w:numPr>
        <w:spacing w:after="80" w:line="300"/>
      </w:pPr>
      <w:r>
        <w:rPr>
          <w:rFonts w:ascii="Arial" w:cs="Arial" w:eastAsia="Arial" w:hAnsi="Arial"/>
          <w:b/>
          <w:bCs/>
          <w:sz w:val="24"/>
          <w:szCs w:val="24"/>
        </w:rPr>
        <w:t xml:space="preserve">Acceso:</w:t>
      </w:r>
      <w:r>
        <w:rPr>
          <w:rFonts w:ascii="Arial" w:cs="Arial" w:eastAsia="Arial" w:hAnsi="Arial"/>
          <w:sz w:val="24"/>
          <w:szCs w:val="24"/>
        </w:rPr>
        <w:t xml:space="preserve"> autopista México-Pachuca (85D), carretera federal México-Pachuca (85) y las líneas 1 y 4 del Mexibús.</w:t>
      </w:r>
    </w:p>
    <w:p>
      <w:pPr>
        <w:spacing w:after="160" w:line="320"/>
      </w:pPr>
      <w:r>
        <w:rPr>
          <w:rFonts w:ascii="Arial" w:cs="Arial" w:eastAsia="Arial" w:hAnsi="Arial"/>
          <w:sz w:val="24"/>
          <w:szCs w:val="24"/>
        </w:rPr>
        <w:t xml:space="preserve">Para dimensionar su tamaño: el municipio completo de Tecámac tenía 547,503 habitantes en 2020, así que siete de cada diez tecamaquenses viven en Ojo de Agua y sus fraccionamientos.</w:t>
      </w:r>
    </w:p>
    <w:p>
      <w:pPr>
        <w:pStyle w:val="Heading1"/>
        <w:spacing w:after="120" w:before="320"/>
      </w:pPr>
      <w:r>
        <w:rPr>
          <w:rFonts w:ascii="Arial" w:cs="Arial" w:eastAsia="Arial" w:hAnsi="Arial"/>
          <w:b/>
          <w:bCs/>
          <w:color w:val="2E1A6B"/>
          <w:sz w:val="30"/>
          <w:szCs w:val="30"/>
        </w:rPr>
        <w:t xml:space="preserve">Contexto histórico: de hacienda a ciudad dormitorio</w:t>
      </w:r>
    </w:p>
    <w:p>
      <w:pPr>
        <w:spacing w:after="160" w:line="320"/>
      </w:pPr>
      <w:r>
        <w:rPr>
          <w:rFonts w:ascii="Arial" w:cs="Arial" w:eastAsia="Arial" w:hAnsi="Arial"/>
          <w:sz w:val="24"/>
          <w:szCs w:val="24"/>
        </w:rPr>
        <w:t xml:space="preserve">La historia de Ojo de Agua comienza con una hacienda colonial levantada cerca del antiguo lago de Xaltocan, sobre un asentamiento indígena llamado </w:t>
      </w:r>
      <w:r>
        <w:rPr>
          <w:rFonts w:ascii="Arial" w:cs="Arial" w:eastAsia="Arial" w:hAnsi="Arial"/>
          <w:b/>
          <w:bCs/>
          <w:sz w:val="24"/>
          <w:szCs w:val="24"/>
        </w:rPr>
        <w:t xml:space="preserve">Ameyalco</w:t>
      </w:r>
      <w:r>
        <w:rPr>
          <w:rFonts w:ascii="Arial" w:cs="Arial" w:eastAsia="Arial" w:hAnsi="Arial"/>
          <w:sz w:val="24"/>
          <w:szCs w:val="24"/>
        </w:rPr>
        <w:t xml:space="preserve">, palabra náhuatl que se traduce como "donde mana el agua". De ahí viene el nombre actual.</w:t>
      </w:r>
    </w:p>
    <w:p>
      <w:pPr>
        <w:pStyle w:val="ListParagraph"/>
        <w:numPr>
          <w:ilvl w:val="0"/>
          <w:numId w:val="2"/>
        </w:numPr>
        <w:spacing w:after="80" w:line="300"/>
      </w:pPr>
      <w:r>
        <w:rPr>
          <w:rFonts w:ascii="Arial" w:cs="Arial" w:eastAsia="Arial" w:hAnsi="Arial"/>
          <w:b/>
          <w:bCs/>
          <w:sz w:val="24"/>
          <w:szCs w:val="24"/>
        </w:rPr>
        <w:t xml:space="preserve">Siglo XVI:</w:t>
      </w:r>
      <w:r>
        <w:rPr>
          <w:rFonts w:ascii="Arial" w:cs="Arial" w:eastAsia="Arial" w:hAnsi="Arial"/>
          <w:sz w:val="24"/>
          <w:szCs w:val="24"/>
        </w:rPr>
        <w:t xml:space="preserve"> se calcula que la construcción de la hacienda inició hacia 1585. Durante la Colonia fue un centro ganadero y agrícola.</w:t>
      </w:r>
    </w:p>
    <w:p>
      <w:pPr>
        <w:pStyle w:val="ListParagraph"/>
        <w:numPr>
          <w:ilvl w:val="0"/>
          <w:numId w:val="2"/>
        </w:numPr>
        <w:spacing w:after="80" w:line="300"/>
      </w:pPr>
      <w:r>
        <w:rPr>
          <w:rFonts w:ascii="Arial" w:cs="Arial" w:eastAsia="Arial" w:hAnsi="Arial"/>
          <w:b/>
          <w:bCs/>
          <w:sz w:val="24"/>
          <w:szCs w:val="24"/>
        </w:rPr>
        <w:t xml:space="preserve">Siglo XIX:</w:t>
      </w:r>
      <w:r>
        <w:rPr>
          <w:rFonts w:ascii="Arial" w:cs="Arial" w:eastAsia="Arial" w:hAnsi="Arial"/>
          <w:sz w:val="24"/>
          <w:szCs w:val="24"/>
        </w:rPr>
        <w:t xml:space="preserve"> la cercanía con la estación del Ferrocarril Hidalgo convirtió a la hacienda en un punto de comercio regional.</w:t>
      </w:r>
    </w:p>
    <w:p>
      <w:pPr>
        <w:pStyle w:val="ListParagraph"/>
        <w:numPr>
          <w:ilvl w:val="0"/>
          <w:numId w:val="2"/>
        </w:numPr>
        <w:spacing w:after="80" w:line="300"/>
      </w:pPr>
      <w:r>
        <w:rPr>
          <w:rFonts w:ascii="Arial" w:cs="Arial" w:eastAsia="Arial" w:hAnsi="Arial"/>
          <w:b/>
          <w:bCs/>
          <w:sz w:val="24"/>
          <w:szCs w:val="24"/>
        </w:rPr>
        <w:t xml:space="preserve">Revolución Mexicana:</w:t>
      </w:r>
      <w:r>
        <w:rPr>
          <w:rFonts w:ascii="Arial" w:cs="Arial" w:eastAsia="Arial" w:hAnsi="Arial"/>
          <w:sz w:val="24"/>
          <w:szCs w:val="24"/>
        </w:rPr>
        <w:t xml:space="preserve"> la hacienda sirvió como cuartel a las fuerzas zapatistas y en 1916 fue escenario de un enfrentamiento entre carrancistas y las tropas de Villa y Zapata.</w:t>
      </w:r>
    </w:p>
    <w:p>
      <w:pPr>
        <w:pStyle w:val="ListParagraph"/>
        <w:numPr>
          <w:ilvl w:val="0"/>
          <w:numId w:val="2"/>
        </w:numPr>
        <w:spacing w:after="80" w:line="300"/>
      </w:pPr>
      <w:r>
        <w:rPr>
          <w:rFonts w:ascii="Arial" w:cs="Arial" w:eastAsia="Arial" w:hAnsi="Arial"/>
          <w:b/>
          <w:bCs/>
          <w:sz w:val="24"/>
          <w:szCs w:val="24"/>
        </w:rPr>
        <w:t xml:space="preserve">1968:</w:t>
      </w:r>
      <w:r>
        <w:rPr>
          <w:rFonts w:ascii="Arial" w:cs="Arial" w:eastAsia="Arial" w:hAnsi="Arial"/>
          <w:sz w:val="24"/>
          <w:szCs w:val="24"/>
        </w:rPr>
        <w:t xml:space="preserve"> se decidió convertir los terrenos de la hacienda en un fraccionamiento. Desde 1971, el antiguo casco es la sede del Club Hacienda Ojo de Agua.</w:t>
      </w:r>
    </w:p>
    <w:p>
      <w:pPr>
        <w:pStyle w:val="ListParagraph"/>
        <w:numPr>
          <w:ilvl w:val="0"/>
          <w:numId w:val="2"/>
        </w:numPr>
        <w:spacing w:after="80" w:line="300"/>
      </w:pPr>
      <w:r>
        <w:rPr>
          <w:rFonts w:ascii="Arial" w:cs="Arial" w:eastAsia="Arial" w:hAnsi="Arial"/>
          <w:b/>
          <w:bCs/>
          <w:sz w:val="24"/>
          <w:szCs w:val="24"/>
        </w:rPr>
        <w:t xml:space="preserve">Años setenta y ochenta:</w:t>
      </w:r>
      <w:r>
        <w:rPr>
          <w:rFonts w:ascii="Arial" w:cs="Arial" w:eastAsia="Arial" w:hAnsi="Arial"/>
          <w:sz w:val="24"/>
          <w:szCs w:val="24"/>
        </w:rPr>
        <w:t xml:space="preserve"> se construyeron las primeras escuelas, el deportivo y la secundaria "Felipe Villanueva", que abrió en 1975. El mercado se inauguró el 20 de noviembre de 1991.</w:t>
      </w:r>
    </w:p>
    <w:p>
      <w:pPr>
        <w:spacing w:after="160" w:line="320"/>
      </w:pPr>
      <w:r>
        <w:rPr>
          <w:rFonts w:ascii="Arial" w:cs="Arial" w:eastAsia="Arial" w:hAnsi="Arial"/>
          <w:sz w:val="24"/>
          <w:szCs w:val="24"/>
        </w:rPr>
        <w:t xml:space="preserve">Ojo de Agua fue el </w:t>
      </w:r>
      <w:r>
        <w:rPr>
          <w:rFonts w:ascii="Arial" w:cs="Arial" w:eastAsia="Arial" w:hAnsi="Arial"/>
          <w:b/>
          <w:bCs/>
          <w:sz w:val="24"/>
          <w:szCs w:val="24"/>
        </w:rPr>
        <w:t xml:space="preserve">primer fraccionamiento planeado de Tecámac</w:t>
      </w:r>
      <w:r>
        <w:rPr>
          <w:rFonts w:ascii="Arial" w:cs="Arial" w:eastAsia="Arial" w:hAnsi="Arial"/>
          <w:sz w:val="24"/>
          <w:szCs w:val="24"/>
        </w:rPr>
        <w:t xml:space="preserve">. El original se divide en cuatro secciones: Hacienda, Alamedas, Jardines y Villas.</w:t>
      </w:r>
    </w:p>
    <w:p>
      <w:pPr>
        <w:pStyle w:val="Heading1"/>
        <w:spacing w:after="120" w:before="320"/>
      </w:pPr>
      <w:r>
        <w:rPr>
          <w:rFonts w:ascii="Arial" w:cs="Arial" w:eastAsia="Arial" w:hAnsi="Arial"/>
          <w:b/>
          <w:bCs/>
          <w:color w:val="2E1A6B"/>
          <w:sz w:val="30"/>
          <w:szCs w:val="30"/>
        </w:rPr>
        <w:t xml:space="preserve">Contexto social: crecimiento acelerado y población joven</w:t>
      </w:r>
    </w:p>
    <w:p>
      <w:pPr>
        <w:spacing w:after="160" w:line="320"/>
      </w:pPr>
      <w:r>
        <w:rPr>
          <w:rFonts w:ascii="Arial" w:cs="Arial" w:eastAsia="Arial" w:hAnsi="Arial"/>
          <w:sz w:val="24"/>
          <w:szCs w:val="24"/>
        </w:rPr>
        <w:t xml:space="preserve">El rasgo social más importante de Ojo de Agua es la velocidad con la que creció. De acuerdo con los censos del INEGI:</w:t>
      </w:r>
    </w:p>
    <w:p>
      <w:pPr>
        <w:pStyle w:val="ListParagraph"/>
        <w:numPr>
          <w:ilvl w:val="0"/>
          <w:numId w:val="2"/>
        </w:numPr>
        <w:spacing w:after="80" w:line="300"/>
      </w:pPr>
      <w:r>
        <w:rPr>
          <w:rFonts w:ascii="Arial" w:cs="Arial" w:eastAsia="Arial" w:hAnsi="Arial"/>
          <w:b/>
          <w:bCs/>
          <w:sz w:val="24"/>
          <w:szCs w:val="24"/>
        </w:rPr>
        <w:t xml:space="preserve">2000:</w:t>
      </w:r>
      <w:r>
        <w:rPr>
          <w:rFonts w:ascii="Arial" w:cs="Arial" w:eastAsia="Arial" w:hAnsi="Arial"/>
          <w:sz w:val="24"/>
          <w:szCs w:val="24"/>
        </w:rPr>
        <w:t xml:space="preserve"> 74,143 habitantes.</w:t>
      </w:r>
    </w:p>
    <w:p>
      <w:pPr>
        <w:pStyle w:val="ListParagraph"/>
        <w:numPr>
          <w:ilvl w:val="0"/>
          <w:numId w:val="2"/>
        </w:numPr>
        <w:spacing w:after="80" w:line="300"/>
      </w:pPr>
      <w:r>
        <w:rPr>
          <w:rFonts w:ascii="Arial" w:cs="Arial" w:eastAsia="Arial" w:hAnsi="Arial"/>
          <w:b/>
          <w:bCs/>
          <w:sz w:val="24"/>
          <w:szCs w:val="24"/>
        </w:rPr>
        <w:t xml:space="preserve">2010:</w:t>
      </w:r>
      <w:r>
        <w:rPr>
          <w:rFonts w:ascii="Arial" w:cs="Arial" w:eastAsia="Arial" w:hAnsi="Arial"/>
          <w:sz w:val="24"/>
          <w:szCs w:val="24"/>
        </w:rPr>
        <w:t xml:space="preserve"> 242,272 habitantes.</w:t>
      </w:r>
    </w:p>
    <w:p>
      <w:pPr>
        <w:pStyle w:val="ListParagraph"/>
        <w:numPr>
          <w:ilvl w:val="0"/>
          <w:numId w:val="2"/>
        </w:numPr>
        <w:spacing w:after="80" w:line="300"/>
      </w:pPr>
      <w:r>
        <w:rPr>
          <w:rFonts w:ascii="Arial" w:cs="Arial" w:eastAsia="Arial" w:hAnsi="Arial"/>
          <w:b/>
          <w:bCs/>
          <w:sz w:val="24"/>
          <w:szCs w:val="24"/>
        </w:rPr>
        <w:t xml:space="preserve">2020:</w:t>
      </w:r>
      <w:r>
        <w:rPr>
          <w:rFonts w:ascii="Arial" w:cs="Arial" w:eastAsia="Arial" w:hAnsi="Arial"/>
          <w:sz w:val="24"/>
          <w:szCs w:val="24"/>
        </w:rPr>
        <w:t xml:space="preserve"> 386,290 habitantes.</w:t>
      </w:r>
    </w:p>
    <w:p>
      <w:pPr>
        <w:spacing w:after="160" w:line="320"/>
      </w:pPr>
      <w:r>
        <w:rPr>
          <w:rFonts w:ascii="Arial" w:cs="Arial" w:eastAsia="Arial" w:hAnsi="Arial"/>
          <w:sz w:val="24"/>
          <w:szCs w:val="24"/>
        </w:rPr>
        <w:t xml:space="preserve">En solo veinte años la población se multiplicó por cinco. Este crecimiento se explica por la llegada de grandes conjuntos habitacionales financiados con créditos de vivienda, como Real del Sol, Real Verona, Real Firenze, Real Castell, Real Toscana, Real Carrara, Urbi Villa del Campo, Punta Palermo y Real Alcalá, entre otros. La mayoría de sus habitantes llegaron de la Ciudad de México, de Ecatepec y de otros estados en busca de una vivienda propia.</w:t>
      </w:r>
    </w:p>
    <w:p>
      <w:pPr>
        <w:spacing w:after="160" w:line="320"/>
      </w:pPr>
      <w:r>
        <w:rPr>
          <w:rFonts w:ascii="Arial" w:cs="Arial" w:eastAsia="Arial" w:hAnsi="Arial"/>
          <w:b/>
          <w:bCs/>
          <w:sz w:val="24"/>
          <w:szCs w:val="24"/>
        </w:rPr>
        <w:t xml:space="preserve">Estructura de la población (2020):</w:t>
      </w:r>
    </w:p>
    <w:p>
      <w:pPr>
        <w:pStyle w:val="ListParagraph"/>
        <w:numPr>
          <w:ilvl w:val="0"/>
          <w:numId w:val="2"/>
        </w:numPr>
        <w:spacing w:after="80" w:line="300"/>
      </w:pPr>
      <w:r>
        <w:rPr>
          <w:rFonts w:ascii="Arial" w:cs="Arial" w:eastAsia="Arial" w:hAnsi="Arial"/>
          <w:sz w:val="24"/>
          <w:szCs w:val="24"/>
        </w:rPr>
        <w:t xml:space="preserve">23.5 % tiene menos de 15 años.</w:t>
      </w:r>
    </w:p>
    <w:p>
      <w:pPr>
        <w:pStyle w:val="ListParagraph"/>
        <w:numPr>
          <w:ilvl w:val="0"/>
          <w:numId w:val="2"/>
        </w:numPr>
        <w:spacing w:after="80" w:line="300"/>
      </w:pPr>
      <w:r>
        <w:rPr>
          <w:rFonts w:ascii="Arial" w:cs="Arial" w:eastAsia="Arial" w:hAnsi="Arial"/>
          <w:sz w:val="24"/>
          <w:szCs w:val="24"/>
        </w:rPr>
        <w:t xml:space="preserve">71.6 % está en edad de trabajar (15 a 64 años).</w:t>
      </w:r>
    </w:p>
    <w:p>
      <w:pPr>
        <w:pStyle w:val="ListParagraph"/>
        <w:numPr>
          <w:ilvl w:val="0"/>
          <w:numId w:val="2"/>
        </w:numPr>
        <w:spacing w:after="80" w:line="300"/>
      </w:pPr>
      <w:r>
        <w:rPr>
          <w:rFonts w:ascii="Arial" w:cs="Arial" w:eastAsia="Arial" w:hAnsi="Arial"/>
          <w:sz w:val="24"/>
          <w:szCs w:val="24"/>
        </w:rPr>
        <w:t xml:space="preserve">4.9 % tiene 65 años o más.</w:t>
      </w:r>
    </w:p>
    <w:p>
      <w:pPr>
        <w:pStyle w:val="ListParagraph"/>
        <w:numPr>
          <w:ilvl w:val="0"/>
          <w:numId w:val="2"/>
        </w:numPr>
        <w:spacing w:after="80" w:line="300"/>
      </w:pPr>
      <w:r>
        <w:rPr>
          <w:rFonts w:ascii="Arial" w:cs="Arial" w:eastAsia="Arial" w:hAnsi="Arial"/>
          <w:sz w:val="24"/>
          <w:szCs w:val="24"/>
        </w:rPr>
        <w:t xml:space="preserve">El promedio de escolaridad es de 11.4 años, es decir, poco menos de bachillerato terminado.</w:t>
      </w:r>
    </w:p>
    <w:p>
      <w:pPr>
        <w:pStyle w:val="ListParagraph"/>
        <w:numPr>
          <w:ilvl w:val="0"/>
          <w:numId w:val="2"/>
        </w:numPr>
        <w:spacing w:after="80" w:line="300"/>
      </w:pPr>
      <w:r>
        <w:rPr>
          <w:rFonts w:ascii="Arial" w:cs="Arial" w:eastAsia="Arial" w:hAnsi="Arial"/>
          <w:sz w:val="24"/>
          <w:szCs w:val="24"/>
        </w:rPr>
        <w:t xml:space="preserve">Cerca de 1.9 % de la población se considera indígena.</w:t>
      </w:r>
    </w:p>
    <w:p>
      <w:pPr>
        <w:spacing w:after="160" w:line="320"/>
      </w:pPr>
      <w:r>
        <w:rPr>
          <w:rFonts w:ascii="Arial" w:cs="Arial" w:eastAsia="Arial" w:hAnsi="Arial"/>
          <w:sz w:val="24"/>
          <w:szCs w:val="24"/>
        </w:rPr>
        <w:t xml:space="preserve">Es una comunidad mayoritariamente joven, con muchas familias que trabajan fuera de la localidad.</w:t>
      </w:r>
    </w:p>
    <w:p>
      <w:pPr>
        <w:spacing w:after="160" w:line="320"/>
      </w:pPr>
      <w:r>
        <w:rPr>
          <w:rFonts w:ascii="Arial" w:cs="Arial" w:eastAsia="Arial" w:hAnsi="Arial"/>
          <w:b/>
          <w:bCs/>
          <w:sz w:val="24"/>
          <w:szCs w:val="24"/>
        </w:rPr>
        <w:t xml:space="preserve">Principales retos sociales:</w:t>
      </w:r>
    </w:p>
    <w:p>
      <w:pPr>
        <w:pStyle w:val="ListParagraph"/>
        <w:numPr>
          <w:ilvl w:val="0"/>
          <w:numId w:val="2"/>
        </w:numPr>
        <w:spacing w:after="80" w:line="300"/>
      </w:pPr>
      <w:r>
        <w:rPr>
          <w:rFonts w:ascii="Arial" w:cs="Arial" w:eastAsia="Arial" w:hAnsi="Arial"/>
          <w:b/>
          <w:bCs/>
          <w:sz w:val="24"/>
          <w:szCs w:val="24"/>
        </w:rPr>
        <w:t xml:space="preserve">Ciudad dormitorio:</w:t>
      </w:r>
      <w:r>
        <w:rPr>
          <w:rFonts w:ascii="Arial" w:cs="Arial" w:eastAsia="Arial" w:hAnsi="Arial"/>
          <w:sz w:val="24"/>
          <w:szCs w:val="24"/>
        </w:rPr>
        <w:t xml:space="preserve"> buena parte de la población viaja todos los días a la Ciudad de México o a Ecatepec para trabajar o estudiar, lo que implica traslados largos y menos tiempo en casa y en comunidad.</w:t>
      </w:r>
    </w:p>
    <w:p>
      <w:pPr>
        <w:pStyle w:val="ListParagraph"/>
        <w:numPr>
          <w:ilvl w:val="0"/>
          <w:numId w:val="2"/>
        </w:numPr>
        <w:spacing w:after="80" w:line="300"/>
      </w:pPr>
      <w:r>
        <w:rPr>
          <w:rFonts w:ascii="Arial" w:cs="Arial" w:eastAsia="Arial" w:hAnsi="Arial"/>
          <w:b/>
          <w:bCs/>
          <w:sz w:val="24"/>
          <w:szCs w:val="24"/>
        </w:rPr>
        <w:t xml:space="preserve">Agua potable:</w:t>
      </w:r>
      <w:r>
        <w:rPr>
          <w:rFonts w:ascii="Arial" w:cs="Arial" w:eastAsia="Arial" w:hAnsi="Arial"/>
          <w:sz w:val="24"/>
          <w:szCs w:val="24"/>
        </w:rPr>
        <w:t xml:space="preserve"> el crecimiento inmobiliario de Tecámac aumentó la presión sobre el acuífero. Investigaciones sobre el municipio documentan conflictos entre nuevos vecinos, inmobiliarias y autoridades por fallas en el abasto.</w:t>
      </w:r>
    </w:p>
    <w:p>
      <w:pPr>
        <w:pStyle w:val="ListParagraph"/>
        <w:numPr>
          <w:ilvl w:val="0"/>
          <w:numId w:val="2"/>
        </w:numPr>
        <w:spacing w:after="80" w:line="300"/>
      </w:pPr>
      <w:r>
        <w:rPr>
          <w:rFonts w:ascii="Arial" w:cs="Arial" w:eastAsia="Arial" w:hAnsi="Arial"/>
          <w:b/>
          <w:bCs/>
          <w:sz w:val="24"/>
          <w:szCs w:val="24"/>
        </w:rPr>
        <w:t xml:space="preserve">Mantenimiento urbano:</w:t>
      </w:r>
      <w:r>
        <w:rPr>
          <w:rFonts w:ascii="Arial" w:cs="Arial" w:eastAsia="Arial" w:hAnsi="Arial"/>
          <w:sz w:val="24"/>
          <w:szCs w:val="24"/>
        </w:rPr>
        <w:t xml:space="preserve"> el fraccionamiento original ya tiene más de cincuenta años y sus calles, banquetas y áreas verdes requieren mantenimiento constante. Los conjuntos nuevos enfrentan otro problema: servicios que no crecieron al mismo ritmo que la población.</w:t>
      </w:r>
    </w:p>
    <w:p>
      <w:pPr>
        <w:pStyle w:val="ListParagraph"/>
        <w:numPr>
          <w:ilvl w:val="0"/>
          <w:numId w:val="2"/>
        </w:numPr>
        <w:spacing w:after="80" w:line="300"/>
      </w:pPr>
      <w:r>
        <w:rPr>
          <w:rFonts w:ascii="Arial" w:cs="Arial" w:eastAsia="Arial" w:hAnsi="Arial"/>
          <w:b/>
          <w:bCs/>
          <w:sz w:val="24"/>
          <w:szCs w:val="24"/>
        </w:rPr>
        <w:t xml:space="preserve">Tejido social:</w:t>
      </w:r>
      <w:r>
        <w:rPr>
          <w:rFonts w:ascii="Arial" w:cs="Arial" w:eastAsia="Arial" w:hAnsi="Arial"/>
          <w:sz w:val="24"/>
          <w:szCs w:val="24"/>
        </w:rPr>
        <w:t xml:space="preserve"> en los fraccionamientos recientes muchos vecinos no se conocen entre sí, porque llegaron en pocos años y de lugares distintos. Esto contrasta con los pueblos originarios cercanos, como San Pedro Atzompa o Santa María Ozumbilla, donde las fiestas y las relaciones familiares tienen una historia mucho más larga.</w:t>
      </w:r>
    </w:p>
    <w:p>
      <w:pPr>
        <w:pStyle w:val="Heading1"/>
        <w:spacing w:after="120" w:before="320"/>
      </w:pPr>
      <w:r>
        <w:rPr>
          <w:rFonts w:ascii="Arial" w:cs="Arial" w:eastAsia="Arial" w:hAnsi="Arial"/>
          <w:b/>
          <w:bCs/>
          <w:color w:val="2E1A6B"/>
          <w:sz w:val="30"/>
          <w:szCs w:val="30"/>
        </w:rPr>
        <w:t xml:space="preserve">Contexto económico: comercio local y corredor de servicios</w:t>
      </w:r>
    </w:p>
    <w:p>
      <w:pPr>
        <w:spacing w:after="160" w:line="320"/>
      </w:pPr>
      <w:r>
        <w:rPr>
          <w:rFonts w:ascii="Arial" w:cs="Arial" w:eastAsia="Arial" w:hAnsi="Arial"/>
          <w:sz w:val="24"/>
          <w:szCs w:val="24"/>
        </w:rPr>
        <w:t xml:space="preserve">La principal actividad económica de Ojo de Agua es el </w:t>
      </w:r>
      <w:r>
        <w:rPr>
          <w:rFonts w:ascii="Arial" w:cs="Arial" w:eastAsia="Arial" w:hAnsi="Arial"/>
          <w:b/>
          <w:bCs/>
          <w:sz w:val="24"/>
          <w:szCs w:val="24"/>
        </w:rPr>
        <w:t xml:space="preserve">comercio local y los servicios</w:t>
      </w:r>
      <w:r>
        <w:rPr>
          <w:rFonts w:ascii="Arial" w:cs="Arial" w:eastAsia="Arial" w:hAnsi="Arial"/>
          <w:sz w:val="24"/>
          <w:szCs w:val="24"/>
        </w:rPr>
        <w:t xml:space="preserve">. Casi no hay industria dentro de la localidad; la economía gira alrededor de lo que consumen sus cientos de miles de habitantes.</w:t>
      </w:r>
    </w:p>
    <w:p>
      <w:pPr>
        <w:pStyle w:val="ListParagraph"/>
        <w:numPr>
          <w:ilvl w:val="0"/>
          <w:numId w:val="2"/>
        </w:numPr>
        <w:spacing w:after="80" w:line="300"/>
      </w:pPr>
      <w:r>
        <w:rPr>
          <w:rFonts w:ascii="Arial" w:cs="Arial" w:eastAsia="Arial" w:hAnsi="Arial"/>
          <w:b/>
          <w:bCs/>
          <w:sz w:val="24"/>
          <w:szCs w:val="24"/>
        </w:rPr>
        <w:t xml:space="preserve">Boulevard Ojo de Agua:</w:t>
      </w:r>
      <w:r>
        <w:rPr>
          <w:rFonts w:ascii="Arial" w:cs="Arial" w:eastAsia="Arial" w:hAnsi="Arial"/>
          <w:sz w:val="24"/>
          <w:szCs w:val="24"/>
        </w:rPr>
        <w:t xml:space="preserve"> es el eje comercial de la zona. A lo largo de su recorrido en forma de "L" hay tiendas, consultorios, escuelas particulares, bancos y restaurantes.</w:t>
      </w:r>
    </w:p>
    <w:p>
      <w:pPr>
        <w:pStyle w:val="ListParagraph"/>
        <w:numPr>
          <w:ilvl w:val="0"/>
          <w:numId w:val="2"/>
        </w:numPr>
        <w:spacing w:after="80" w:line="300"/>
      </w:pPr>
      <w:r>
        <w:rPr>
          <w:rFonts w:ascii="Arial" w:cs="Arial" w:eastAsia="Arial" w:hAnsi="Arial"/>
          <w:b/>
          <w:bCs/>
          <w:sz w:val="24"/>
          <w:szCs w:val="24"/>
        </w:rPr>
        <w:t xml:space="preserve">Plazas y tiendas de autoservicio:</w:t>
      </w:r>
      <w:r>
        <w:rPr>
          <w:rFonts w:ascii="Arial" w:cs="Arial" w:eastAsia="Arial" w:hAnsi="Arial"/>
          <w:sz w:val="24"/>
          <w:szCs w:val="24"/>
        </w:rPr>
        <w:t xml:space="preserve"> en los alrededores se concentran centros comerciales, supermercados y tiendas departamentales que atienden a toda la región norte de Tecámac.</w:t>
      </w:r>
    </w:p>
    <w:p>
      <w:pPr>
        <w:pStyle w:val="ListParagraph"/>
        <w:numPr>
          <w:ilvl w:val="0"/>
          <w:numId w:val="2"/>
        </w:numPr>
        <w:spacing w:after="80" w:line="300"/>
      </w:pPr>
      <w:r>
        <w:rPr>
          <w:rFonts w:ascii="Arial" w:cs="Arial" w:eastAsia="Arial" w:hAnsi="Arial"/>
          <w:b/>
          <w:bCs/>
          <w:sz w:val="24"/>
          <w:szCs w:val="24"/>
        </w:rPr>
        <w:t xml:space="preserve">Pequeños negocios familiares:</w:t>
      </w:r>
      <w:r>
        <w:rPr>
          <w:rFonts w:ascii="Arial" w:cs="Arial" w:eastAsia="Arial" w:hAnsi="Arial"/>
          <w:sz w:val="24"/>
          <w:szCs w:val="24"/>
        </w:rPr>
        <w:t xml:space="preserve"> tienditas, papelerías, cocinas económicas, estéticas y talleres, muchos de ellos dentro de las propias viviendas, representan una fuente importante de ingreso y autoempleo.</w:t>
      </w:r>
    </w:p>
    <w:p>
      <w:pPr>
        <w:pStyle w:val="ListParagraph"/>
        <w:numPr>
          <w:ilvl w:val="0"/>
          <w:numId w:val="2"/>
        </w:numPr>
        <w:spacing w:after="80" w:line="300"/>
      </w:pPr>
      <w:r>
        <w:rPr>
          <w:rFonts w:ascii="Arial" w:cs="Arial" w:eastAsia="Arial" w:hAnsi="Arial"/>
          <w:b/>
          <w:bCs/>
          <w:sz w:val="24"/>
          <w:szCs w:val="24"/>
        </w:rPr>
        <w:t xml:space="preserve">Mercados y tianguis:</w:t>
      </w:r>
      <w:r>
        <w:rPr>
          <w:rFonts w:ascii="Arial" w:cs="Arial" w:eastAsia="Arial" w:hAnsi="Arial"/>
          <w:sz w:val="24"/>
          <w:szCs w:val="24"/>
        </w:rPr>
        <w:t xml:space="preserve"> el mercado de Ojo de Agua y los tianguis semanales siguen siendo fundamentales para la compra de alimentos.</w:t>
      </w:r>
    </w:p>
    <w:p>
      <w:pPr>
        <w:spacing w:after="160" w:line="320"/>
      </w:pPr>
      <w:r>
        <w:rPr>
          <w:rFonts w:ascii="Arial" w:cs="Arial" w:eastAsia="Arial" w:hAnsi="Arial"/>
          <w:b/>
          <w:bCs/>
          <w:sz w:val="24"/>
          <w:szCs w:val="24"/>
        </w:rPr>
        <w:t xml:space="preserve">Movilidad y conectividad:</w:t>
      </w:r>
    </w:p>
    <w:p>
      <w:pPr>
        <w:pStyle w:val="ListParagraph"/>
        <w:numPr>
          <w:ilvl w:val="0"/>
          <w:numId w:val="2"/>
        </w:numPr>
        <w:spacing w:after="80" w:line="300"/>
      </w:pPr>
      <w:r>
        <w:rPr>
          <w:rFonts w:ascii="Arial" w:cs="Arial" w:eastAsia="Arial" w:hAnsi="Arial"/>
          <w:sz w:val="24"/>
          <w:szCs w:val="24"/>
        </w:rPr>
        <w:t xml:space="preserve">La </w:t>
      </w:r>
      <w:r>
        <w:rPr>
          <w:rFonts w:ascii="Arial" w:cs="Arial" w:eastAsia="Arial" w:hAnsi="Arial"/>
          <w:b/>
          <w:bCs/>
          <w:sz w:val="24"/>
          <w:szCs w:val="24"/>
        </w:rPr>
        <w:t xml:space="preserve">Línea 1 del Mexibús</w:t>
      </w:r>
      <w:r>
        <w:rPr>
          <w:rFonts w:ascii="Arial" w:cs="Arial" w:eastAsia="Arial" w:hAnsi="Arial"/>
          <w:sz w:val="24"/>
          <w:szCs w:val="24"/>
        </w:rPr>
        <w:t xml:space="preserve"> conecta Ojo de Agua con Ciudad Azteca desde 2010, y en marzo de 2022 se amplió hasta el Aeropuerto Internacional Felipe Ángeles (AIFA).</w:t>
      </w:r>
    </w:p>
    <w:p>
      <w:pPr>
        <w:pStyle w:val="ListParagraph"/>
        <w:numPr>
          <w:ilvl w:val="0"/>
          <w:numId w:val="2"/>
        </w:numPr>
        <w:spacing w:after="80" w:line="300"/>
      </w:pPr>
      <w:r>
        <w:rPr>
          <w:rFonts w:ascii="Arial" w:cs="Arial" w:eastAsia="Arial" w:hAnsi="Arial"/>
          <w:sz w:val="24"/>
          <w:szCs w:val="24"/>
        </w:rPr>
        <w:t xml:space="preserve">La </w:t>
      </w:r>
      <w:r>
        <w:rPr>
          <w:rFonts w:ascii="Arial" w:cs="Arial" w:eastAsia="Arial" w:hAnsi="Arial"/>
          <w:b/>
          <w:bCs/>
          <w:sz w:val="24"/>
          <w:szCs w:val="24"/>
        </w:rPr>
        <w:t xml:space="preserve">Línea 4 del Mexibús</w:t>
      </w:r>
      <w:r>
        <w:rPr>
          <w:rFonts w:ascii="Arial" w:cs="Arial" w:eastAsia="Arial" w:hAnsi="Arial"/>
          <w:sz w:val="24"/>
          <w:szCs w:val="24"/>
        </w:rPr>
        <w:t xml:space="preserve"> une Tecámac con el norte de la Ciudad de México.</w:t>
      </w:r>
    </w:p>
    <w:p>
      <w:pPr>
        <w:pStyle w:val="ListParagraph"/>
        <w:numPr>
          <w:ilvl w:val="0"/>
          <w:numId w:val="2"/>
        </w:numPr>
        <w:spacing w:after="80" w:line="300"/>
      </w:pPr>
      <w:r>
        <w:rPr>
          <w:rFonts w:ascii="Arial" w:cs="Arial" w:eastAsia="Arial" w:hAnsi="Arial"/>
          <w:sz w:val="24"/>
          <w:szCs w:val="24"/>
        </w:rPr>
        <w:t xml:space="preserve">Desde abril de 2026, el </w:t>
      </w:r>
      <w:r>
        <w:rPr>
          <w:rFonts w:ascii="Arial" w:cs="Arial" w:eastAsia="Arial" w:hAnsi="Arial"/>
          <w:b/>
          <w:bCs/>
          <w:sz w:val="24"/>
          <w:szCs w:val="24"/>
        </w:rPr>
        <w:t xml:space="preserve">Tren Suburbano al AIFA</w:t>
      </w:r>
      <w:r>
        <w:rPr>
          <w:rFonts w:ascii="Arial" w:cs="Arial" w:eastAsia="Arial" w:hAnsi="Arial"/>
          <w:sz w:val="24"/>
          <w:szCs w:val="24"/>
        </w:rPr>
        <w:t xml:space="preserve"> une el aeropuerto con la estación Buenavista, en la Ciudad de México, lo que refuerza la importancia de la zona norte del Valle de México.</w:t>
      </w:r>
    </w:p>
    <w:p>
      <w:pPr>
        <w:spacing w:after="160" w:line="320"/>
      </w:pPr>
      <w:r>
        <w:rPr>
          <w:rFonts w:ascii="Arial" w:cs="Arial" w:eastAsia="Arial" w:hAnsi="Arial"/>
          <w:sz w:val="24"/>
          <w:szCs w:val="24"/>
        </w:rPr>
        <w:t xml:space="preserve">La cercanía con el AIFA está atrayendo inversión en vivienda, comercio y logística, pero también hace que suba el costo de los terrenos y las rentas. Para muchas familias esto representa una oportunidad de empleo, y para otras, una presión económica nueva.</w:t>
      </w:r>
    </w:p>
    <w:p>
      <w:pPr>
        <w:pStyle w:val="Heading1"/>
        <w:spacing w:after="120" w:before="320"/>
      </w:pPr>
      <w:r>
        <w:rPr>
          <w:rFonts w:ascii="Arial" w:cs="Arial" w:eastAsia="Arial" w:hAnsi="Arial"/>
          <w:b/>
          <w:bCs/>
          <w:color w:val="2E1A6B"/>
          <w:sz w:val="30"/>
          <w:szCs w:val="30"/>
        </w:rPr>
        <w:t xml:space="preserve">Contexto cultural: tradiciones nuevas sobre una historia antigua</w:t>
      </w:r>
    </w:p>
    <w:p>
      <w:pPr>
        <w:spacing w:after="160" w:line="320"/>
      </w:pPr>
      <w:r>
        <w:rPr>
          <w:rFonts w:ascii="Arial" w:cs="Arial" w:eastAsia="Arial" w:hAnsi="Arial"/>
          <w:sz w:val="24"/>
          <w:szCs w:val="24"/>
        </w:rPr>
        <w:t xml:space="preserve">A diferencia de los pueblos originarios de Tecámac, Ojo de Agua no tiene una fiesta patronal antigua como eje de su identidad. Su cultura es más reciente y se ha construido alrededor de la vida del fraccionamiento.</w:t>
      </w:r>
    </w:p>
    <w:p>
      <w:pPr>
        <w:pStyle w:val="ListParagraph"/>
        <w:numPr>
          <w:ilvl w:val="0"/>
          <w:numId w:val="2"/>
        </w:numPr>
        <w:spacing w:after="80" w:line="300"/>
      </w:pPr>
      <w:r>
        <w:rPr>
          <w:rFonts w:ascii="Arial" w:cs="Arial" w:eastAsia="Arial" w:hAnsi="Arial"/>
          <w:b/>
          <w:bCs/>
          <w:sz w:val="24"/>
          <w:szCs w:val="24"/>
        </w:rPr>
        <w:t xml:space="preserve">Aniversario del fraccionamiento:</w:t>
      </w:r>
      <w:r>
        <w:rPr>
          <w:rFonts w:ascii="Arial" w:cs="Arial" w:eastAsia="Arial" w:hAnsi="Arial"/>
          <w:sz w:val="24"/>
          <w:szCs w:val="24"/>
        </w:rPr>
        <w:t xml:space="preserve"> cada 20 de noviembre se celebra con una feria en la Plaza Cívica, con juegos mecánicos, comida típica, actividades culturales y fuegos artificiales.</w:t>
      </w:r>
    </w:p>
    <w:p>
      <w:pPr>
        <w:pStyle w:val="ListParagraph"/>
        <w:numPr>
          <w:ilvl w:val="0"/>
          <w:numId w:val="2"/>
        </w:numPr>
        <w:spacing w:after="80" w:line="300"/>
      </w:pPr>
      <w:r>
        <w:rPr>
          <w:rFonts w:ascii="Arial" w:cs="Arial" w:eastAsia="Arial" w:hAnsi="Arial"/>
          <w:b/>
          <w:bCs/>
          <w:sz w:val="24"/>
          <w:szCs w:val="24"/>
        </w:rPr>
        <w:t xml:space="preserve">Patrimonio histórico:</w:t>
      </w:r>
      <w:r>
        <w:rPr>
          <w:rFonts w:ascii="Arial" w:cs="Arial" w:eastAsia="Arial" w:hAnsi="Arial"/>
          <w:sz w:val="24"/>
          <w:szCs w:val="24"/>
        </w:rPr>
        <w:t xml:space="preserve"> el casco de la antigua hacienda se conserva y es el principal testimonio del pasado colonial de la zona.</w:t>
      </w:r>
    </w:p>
    <w:p>
      <w:pPr>
        <w:pStyle w:val="ListParagraph"/>
        <w:numPr>
          <w:ilvl w:val="0"/>
          <w:numId w:val="2"/>
        </w:numPr>
        <w:spacing w:after="80" w:line="300"/>
      </w:pPr>
      <w:r>
        <w:rPr>
          <w:rFonts w:ascii="Arial" w:cs="Arial" w:eastAsia="Arial" w:hAnsi="Arial"/>
          <w:b/>
          <w:bCs/>
          <w:sz w:val="24"/>
          <w:szCs w:val="24"/>
        </w:rPr>
        <w:t xml:space="preserve">Hallazgos prehistóricos:</w:t>
      </w:r>
      <w:r>
        <w:rPr>
          <w:rFonts w:ascii="Arial" w:cs="Arial" w:eastAsia="Arial" w:hAnsi="Arial"/>
          <w:sz w:val="24"/>
          <w:szCs w:val="24"/>
        </w:rPr>
        <w:t xml:space="preserve"> en 2008 se encontraron restos de un mamut de entre 10,000 y 13,000 años de antigüedad en la sección Jardines. Tecámac es una de las zonas del país con más hallazgos de megafauna, y esto forma parte de la identidad regional.</w:t>
      </w:r>
    </w:p>
    <w:p>
      <w:pPr>
        <w:pStyle w:val="ListParagraph"/>
        <w:numPr>
          <w:ilvl w:val="0"/>
          <w:numId w:val="2"/>
        </w:numPr>
        <w:spacing w:after="80" w:line="300"/>
      </w:pPr>
      <w:r>
        <w:rPr>
          <w:rFonts w:ascii="Arial" w:cs="Arial" w:eastAsia="Arial" w:hAnsi="Arial"/>
          <w:b/>
          <w:bCs/>
          <w:sz w:val="24"/>
          <w:szCs w:val="24"/>
        </w:rPr>
        <w:t xml:space="preserve">Música y vida juvenil:</w:t>
      </w:r>
      <w:r>
        <w:rPr>
          <w:rFonts w:ascii="Arial" w:cs="Arial" w:eastAsia="Arial" w:hAnsi="Arial"/>
          <w:sz w:val="24"/>
          <w:szCs w:val="24"/>
        </w:rPr>
        <w:t xml:space="preserve"> en los años ochenta, Ojo de Agua tuvo un lugar destacado en la escena del rock en español. En la zona se presentaron bandas del movimiento Rock en tu Idioma que después fueron muy conocidas.</w:t>
      </w:r>
    </w:p>
    <w:p>
      <w:pPr>
        <w:pStyle w:val="ListParagraph"/>
        <w:numPr>
          <w:ilvl w:val="0"/>
          <w:numId w:val="2"/>
        </w:numPr>
        <w:spacing w:after="80" w:line="300"/>
      </w:pPr>
      <w:r>
        <w:rPr>
          <w:rFonts w:ascii="Arial" w:cs="Arial" w:eastAsia="Arial" w:hAnsi="Arial"/>
          <w:b/>
          <w:bCs/>
          <w:sz w:val="24"/>
          <w:szCs w:val="24"/>
        </w:rPr>
        <w:t xml:space="preserve">Espacios deportivos y recreativos:</w:t>
      </w:r>
      <w:r>
        <w:rPr>
          <w:rFonts w:ascii="Arial" w:cs="Arial" w:eastAsia="Arial" w:hAnsi="Arial"/>
          <w:sz w:val="24"/>
          <w:szCs w:val="24"/>
        </w:rPr>
        <w:t xml:space="preserve"> la pista de trote del Boulevard Ojo de Agua, los deportivos y los parques de los fraccionamientos funcionan como espacios de convivencia familiar.</w:t>
      </w:r>
    </w:p>
    <w:p>
      <w:pPr>
        <w:pStyle w:val="ListParagraph"/>
        <w:numPr>
          <w:ilvl w:val="0"/>
          <w:numId w:val="2"/>
        </w:numPr>
        <w:spacing w:after="80" w:line="300"/>
      </w:pPr>
      <w:r>
        <w:rPr>
          <w:rFonts w:ascii="Arial" w:cs="Arial" w:eastAsia="Arial" w:hAnsi="Arial"/>
          <w:b/>
          <w:bCs/>
          <w:sz w:val="24"/>
          <w:szCs w:val="24"/>
        </w:rPr>
        <w:t xml:space="preserve">Diversidad cultural:</w:t>
      </w:r>
      <w:r>
        <w:rPr>
          <w:rFonts w:ascii="Arial" w:cs="Arial" w:eastAsia="Arial" w:hAnsi="Arial"/>
          <w:sz w:val="24"/>
          <w:szCs w:val="24"/>
        </w:rPr>
        <w:t xml:space="preserve"> como la mayoría de sus habitantes vienen de otros lugares, en Ojo de Agua conviven costumbres, gastronomía y festividades de distintos estados del país.</w:t>
      </w:r>
    </w:p>
    <w:p>
      <w:pPr>
        <w:pStyle w:val="Heading1"/>
        <w:spacing w:after="120" w:before="320"/>
      </w:pPr>
      <w:r>
        <w:rPr>
          <w:rFonts w:ascii="Arial" w:cs="Arial" w:eastAsia="Arial" w:hAnsi="Arial"/>
          <w:b/>
          <w:bCs/>
          <w:color w:val="2E1A6B"/>
          <w:sz w:val="30"/>
          <w:szCs w:val="30"/>
        </w:rPr>
        <w:t xml:space="preserve">Perspectiva 2026: una ciudad dentro de un municipio</w:t>
      </w:r>
    </w:p>
    <w:p>
      <w:pPr>
        <w:spacing w:after="160" w:line="320"/>
      </w:pPr>
      <w:r>
        <w:rPr>
          <w:rFonts w:ascii="Arial" w:cs="Arial" w:eastAsia="Arial" w:hAnsi="Arial"/>
          <w:sz w:val="24"/>
          <w:szCs w:val="24"/>
        </w:rPr>
        <w:t xml:space="preserve">Ojo de Agua resume muchos de los cambios que vive la periferia norte del Valle de México: crecimiento acelerado, dependencia de la capital y una identidad que todavía se está formando. Su futuro depende sobre todo de tres cosas:</w:t>
      </w:r>
    </w:p>
    <w:p>
      <w:pPr>
        <w:pStyle w:val="ListParagraph"/>
        <w:numPr>
          <w:ilvl w:val="0"/>
          <w:numId w:val="2"/>
        </w:numPr>
        <w:spacing w:after="80" w:line="300"/>
      </w:pPr>
      <w:r>
        <w:rPr>
          <w:rFonts w:ascii="Arial" w:cs="Arial" w:eastAsia="Arial" w:hAnsi="Arial"/>
          <w:sz w:val="24"/>
          <w:szCs w:val="24"/>
        </w:rPr>
        <w:t xml:space="preserve">Garantizar el abasto de agua para una población que sigue creciendo.</w:t>
      </w:r>
    </w:p>
    <w:p>
      <w:pPr>
        <w:pStyle w:val="ListParagraph"/>
        <w:numPr>
          <w:ilvl w:val="0"/>
          <w:numId w:val="2"/>
        </w:numPr>
        <w:spacing w:after="80" w:line="300"/>
      </w:pPr>
      <w:r>
        <w:rPr>
          <w:rFonts w:ascii="Arial" w:cs="Arial" w:eastAsia="Arial" w:hAnsi="Arial"/>
          <w:sz w:val="24"/>
          <w:szCs w:val="24"/>
        </w:rPr>
        <w:t xml:space="preserve">Aprovechar la cercanía con el AIFA para generar empleos locales y reducir los traslados largos.</w:t>
      </w:r>
    </w:p>
    <w:p>
      <w:pPr>
        <w:pStyle w:val="ListParagraph"/>
        <w:numPr>
          <w:ilvl w:val="0"/>
          <w:numId w:val="2"/>
        </w:numPr>
        <w:spacing w:after="80" w:line="300"/>
      </w:pPr>
      <w:r>
        <w:rPr>
          <w:rFonts w:ascii="Arial" w:cs="Arial" w:eastAsia="Arial" w:hAnsi="Arial"/>
          <w:sz w:val="24"/>
          <w:szCs w:val="24"/>
        </w:rPr>
        <w:t xml:space="preserve">Fortalecer la convivencia vecinal y los espacios culturales en los fraccionamientos nuevos.</w:t>
      </w:r>
    </w:p>
    <w:p>
      <w:pPr>
        <w:pStyle w:val="Heading1"/>
        <w:spacing w:after="120" w:before="320"/>
      </w:pPr>
      <w:r>
        <w:rPr>
          <w:rFonts w:ascii="Arial" w:cs="Arial" w:eastAsia="Arial" w:hAnsi="Arial"/>
          <w:b/>
          <w:bCs/>
          <w:color w:val="2E1A6B"/>
          <w:sz w:val="30"/>
          <w:szCs w:val="30"/>
        </w:rPr>
        <w:t xml:space="preserve">Cómo usar este contexto en tu trabajo escolar</w:t>
      </w:r>
    </w:p>
    <w:p>
      <w:pPr>
        <w:spacing w:after="160" w:line="320"/>
      </w:pPr>
      <w:r>
        <w:rPr>
          <w:rFonts w:ascii="Arial" w:cs="Arial" w:eastAsia="Arial" w:hAnsi="Arial"/>
          <w:sz w:val="24"/>
          <w:szCs w:val="24"/>
        </w:rPr>
        <w:t xml:space="preserve">Si vas a usar este análisis en tu </w:t>
      </w:r>
      <w:r>
        <w:rPr>
          <w:rFonts w:ascii="Arial" w:cs="Arial" w:eastAsia="Arial" w:hAnsi="Arial"/>
          <w:b/>
          <w:bCs/>
          <w:sz w:val="24"/>
          <w:szCs w:val="24"/>
        </w:rPr>
        <w:t xml:space="preserve">memoria de trabajo</w:t>
      </w:r>
      <w:r>
        <w:rPr>
          <w:rFonts w:ascii="Arial" w:cs="Arial" w:eastAsia="Arial" w:hAnsi="Arial"/>
          <w:sz w:val="24"/>
          <w:szCs w:val="24"/>
        </w:rPr>
        <w:t xml:space="preserve">, tu proyecto de Cultura Digital o cualquier investigación, te recomiendo:</w:t>
      </w:r>
    </w:p>
    <w:p>
      <w:pPr>
        <w:pStyle w:val="ListParagraph"/>
        <w:numPr>
          <w:ilvl w:val="0"/>
          <w:numId w:val="3"/>
        </w:numPr>
        <w:spacing w:after="80" w:line="300"/>
      </w:pPr>
      <w:r>
        <w:rPr>
          <w:rFonts w:ascii="Arial" w:cs="Arial" w:eastAsia="Arial" w:hAnsi="Arial"/>
          <w:sz w:val="24"/>
          <w:szCs w:val="24"/>
        </w:rPr>
        <w:t xml:space="preserve">Descargar la ficha en Word que acompaña esta entrada.</w:t>
      </w:r>
    </w:p>
    <w:p>
      <w:pPr>
        <w:pStyle w:val="ListParagraph"/>
        <w:numPr>
          <w:ilvl w:val="0"/>
          <w:numId w:val="3"/>
        </w:numPr>
        <w:spacing w:after="80" w:line="300"/>
      </w:pPr>
      <w:r>
        <w:rPr>
          <w:rFonts w:ascii="Arial" w:cs="Arial" w:eastAsia="Arial" w:hAnsi="Arial"/>
          <w:sz w:val="24"/>
          <w:szCs w:val="24"/>
        </w:rPr>
        <w:t xml:space="preserve">Completar los datos con información de tu colonia o fraccionamiento específico.</w:t>
      </w:r>
    </w:p>
    <w:p>
      <w:pPr>
        <w:pStyle w:val="ListParagraph"/>
        <w:numPr>
          <w:ilvl w:val="0"/>
          <w:numId w:val="3"/>
        </w:numPr>
        <w:spacing w:after="80" w:line="300"/>
      </w:pPr>
      <w:r>
        <w:rPr>
          <w:rFonts w:ascii="Arial" w:cs="Arial" w:eastAsia="Arial" w:hAnsi="Arial"/>
          <w:sz w:val="24"/>
          <w:szCs w:val="24"/>
        </w:rPr>
        <w:t xml:space="preserve">Citar las fuentes que aparecen abajo en formato APA 7.</w:t>
      </w:r>
    </w:p>
    <w:p>
      <w:pPr>
        <w:pStyle w:val="Heading1"/>
        <w:spacing w:after="120" w:before="320"/>
      </w:pPr>
      <w:r>
        <w:rPr>
          <w:rFonts w:ascii="Arial" w:cs="Arial" w:eastAsia="Arial" w:hAnsi="Arial"/>
          <w:b/>
          <w:bCs/>
          <w:color w:val="2E1A6B"/>
          <w:sz w:val="30"/>
          <w:szCs w:val="30"/>
        </w:rPr>
        <w:t xml:space="preserve">Cómo citar este artículo (APA 7)</w:t>
      </w:r>
    </w:p>
    <w:p>
      <w:pPr>
        <w:spacing w:after="160" w:line="360"/>
        <w:ind w:left="720" w:hanging="720"/>
      </w:pPr>
      <w:r>
        <w:rPr>
          <w:rFonts w:ascii="Arial" w:cs="Arial" w:eastAsia="Arial" w:hAnsi="Arial"/>
          <w:sz w:val="24"/>
          <w:szCs w:val="24"/>
        </w:rPr>
        <w:t xml:space="preserve">Arciniega, F. (2026). </w:t>
      </w:r>
      <w:r>
        <w:rPr>
          <w:rFonts w:ascii="Arial" w:cs="Arial" w:eastAsia="Arial" w:hAnsi="Arial"/>
          <w:i/>
          <w:iCs/>
          <w:sz w:val="24"/>
          <w:szCs w:val="24"/>
        </w:rPr>
        <w:t xml:space="preserve">Contexto social, económico y cultural de Ojo de Agua, Tecámac, Estado de México (Actualización 2026)</w:t>
      </w:r>
      <w:r>
        <w:rPr>
          <w:rFonts w:ascii="Arial" w:cs="Arial" w:eastAsia="Arial" w:hAnsi="Arial"/>
          <w:sz w:val="24"/>
          <w:szCs w:val="24"/>
        </w:rPr>
        <w:t xml:space="preserve">. Profe Arci. https://fernandoarciniega.com/contexto-social-economico-y-cultural-de-ojo-de-agua-tecamac/</w:t>
      </w:r>
    </w:p>
    <w:p>
      <w:pPr>
        <w:pStyle w:val="Heading1"/>
        <w:spacing w:after="120" w:before="320"/>
      </w:pPr>
      <w:r>
        <w:rPr>
          <w:rFonts w:ascii="Arial" w:cs="Arial" w:eastAsia="Arial" w:hAnsi="Arial"/>
          <w:b/>
          <w:bCs/>
          <w:color w:val="2E1A6B"/>
          <w:sz w:val="30"/>
          <w:szCs w:val="30"/>
        </w:rPr>
        <w:t xml:space="preserve">Referencias</w:t>
      </w:r>
    </w:p>
    <w:p>
      <w:pPr>
        <w:spacing w:after="160" w:line="360"/>
        <w:ind w:left="720" w:hanging="720"/>
      </w:pPr>
      <w:r>
        <w:rPr>
          <w:rFonts w:ascii="Arial" w:cs="Arial" w:eastAsia="Arial" w:hAnsi="Arial"/>
          <w:sz w:val="24"/>
          <w:szCs w:val="24"/>
        </w:rPr>
        <w:t xml:space="preserve">Instituto Nacional de Estadística y Geografía. (2021). </w:t>
      </w:r>
      <w:r>
        <w:rPr>
          <w:rFonts w:ascii="Arial" w:cs="Arial" w:eastAsia="Arial" w:hAnsi="Arial"/>
          <w:i/>
          <w:iCs/>
          <w:sz w:val="24"/>
          <w:szCs w:val="24"/>
        </w:rPr>
        <w:t xml:space="preserve">Censo de Población y Vivienda 2020</w:t>
      </w:r>
      <w:r>
        <w:rPr>
          <w:rFonts w:ascii="Arial" w:cs="Arial" w:eastAsia="Arial" w:hAnsi="Arial"/>
          <w:sz w:val="24"/>
          <w:szCs w:val="24"/>
        </w:rPr>
        <w:t xml:space="preserve">. INEGI. https://www.inegi.org.mx/programas/ccpv/2020/</w:t>
      </w:r>
    </w:p>
    <w:p>
      <w:pPr>
        <w:spacing w:after="160" w:line="360"/>
        <w:ind w:left="720" w:hanging="720"/>
      </w:pPr>
      <w:r>
        <w:rPr>
          <w:rFonts w:ascii="Arial" w:cs="Arial" w:eastAsia="Arial" w:hAnsi="Arial"/>
          <w:sz w:val="24"/>
          <w:szCs w:val="24"/>
        </w:rPr>
        <w:t xml:space="preserve">México Desconocido. (s.f.). </w:t>
      </w:r>
      <w:r>
        <w:rPr>
          <w:rFonts w:ascii="Arial" w:cs="Arial" w:eastAsia="Arial" w:hAnsi="Arial"/>
          <w:i/>
          <w:iCs/>
          <w:sz w:val="24"/>
          <w:szCs w:val="24"/>
        </w:rPr>
        <w:t xml:space="preserve">Línea 1 del Mexibús, mapa, estaciones y horario</w:t>
      </w:r>
      <w:r>
        <w:rPr>
          <w:rFonts w:ascii="Arial" w:cs="Arial" w:eastAsia="Arial" w:hAnsi="Arial"/>
          <w:sz w:val="24"/>
          <w:szCs w:val="24"/>
        </w:rPr>
        <w:t xml:space="preserve">. https://www.mexicodesconocido.com.mx/linea-1-del-mexibus.html</w:t>
      </w:r>
    </w:p>
    <w:p>
      <w:pPr>
        <w:spacing w:after="160" w:line="360"/>
        <w:ind w:left="720" w:hanging="720"/>
      </w:pPr>
      <w:r>
        <w:rPr>
          <w:rFonts w:ascii="Arial" w:cs="Arial" w:eastAsia="Arial" w:hAnsi="Arial"/>
          <w:sz w:val="24"/>
          <w:szCs w:val="24"/>
        </w:rPr>
        <w:t xml:space="preserve">Municipio Data. (s.f.). </w:t>
      </w:r>
      <w:r>
        <w:rPr>
          <w:rFonts w:ascii="Arial" w:cs="Arial" w:eastAsia="Arial" w:hAnsi="Arial"/>
          <w:i/>
          <w:iCs/>
          <w:sz w:val="24"/>
          <w:szCs w:val="24"/>
        </w:rPr>
        <w:t xml:space="preserve">Ojo de Agua, Tecámac, México</w:t>
      </w:r>
      <w:r>
        <w:rPr>
          <w:rFonts w:ascii="Arial" w:cs="Arial" w:eastAsia="Arial" w:hAnsi="Arial"/>
          <w:sz w:val="24"/>
          <w:szCs w:val="24"/>
        </w:rPr>
        <w:t xml:space="preserve">. https://www.municipiodata.com/en/localites/mexico/tecamac/ojo-de-agua</w:t>
      </w:r>
    </w:p>
    <w:p>
      <w:pPr>
        <w:spacing w:after="160" w:line="360"/>
        <w:ind w:left="720" w:hanging="720"/>
      </w:pPr>
      <w:r>
        <w:rPr>
          <w:rFonts w:ascii="Arial" w:cs="Arial" w:eastAsia="Arial" w:hAnsi="Arial"/>
          <w:sz w:val="24"/>
          <w:szCs w:val="24"/>
        </w:rPr>
        <w:t xml:space="preserve">Ojo de Agua (Estado de México). (2025, 17 de octubre). En </w:t>
      </w:r>
      <w:r>
        <w:rPr>
          <w:rFonts w:ascii="Arial" w:cs="Arial" w:eastAsia="Arial" w:hAnsi="Arial"/>
          <w:i/>
          <w:iCs/>
          <w:sz w:val="24"/>
          <w:szCs w:val="24"/>
        </w:rPr>
        <w:t xml:space="preserve">Enciclopedia Kiddle</w:t>
      </w:r>
      <w:r>
        <w:rPr>
          <w:rFonts w:ascii="Arial" w:cs="Arial" w:eastAsia="Arial" w:hAnsi="Arial"/>
          <w:sz w:val="24"/>
          <w:szCs w:val="24"/>
        </w:rPr>
        <w:t xml:space="preserve">. https://ninos.kiddle.co/Ojo_de_Agua_(Estado_de_México)</w:t>
      </w:r>
    </w:p>
    <w:p>
      <w:pPr>
        <w:spacing w:after="160" w:line="360"/>
        <w:ind w:left="720" w:hanging="720"/>
      </w:pPr>
      <w:r>
        <w:rPr>
          <w:rFonts w:ascii="Arial" w:cs="Arial" w:eastAsia="Arial" w:hAnsi="Arial"/>
          <w:sz w:val="24"/>
          <w:szCs w:val="24"/>
        </w:rPr>
        <w:t xml:space="preserve">Secretaría de Economía. (2026). </w:t>
      </w:r>
      <w:r>
        <w:rPr>
          <w:rFonts w:ascii="Arial" w:cs="Arial" w:eastAsia="Arial" w:hAnsi="Arial"/>
          <w:i/>
          <w:iCs/>
          <w:sz w:val="24"/>
          <w:szCs w:val="24"/>
        </w:rPr>
        <w:t xml:space="preserve">Tecámac: Municipio de Estado de México</w:t>
      </w:r>
      <w:r>
        <w:rPr>
          <w:rFonts w:ascii="Arial" w:cs="Arial" w:eastAsia="Arial" w:hAnsi="Arial"/>
          <w:sz w:val="24"/>
          <w:szCs w:val="24"/>
        </w:rPr>
        <w:t xml:space="preserve">. Data México. https://www.economia.gob.mx/datamexico/es/profile/geo/tecamac</w:t>
      </w:r>
    </w:p>
    <w:p>
      <w:pPr>
        <w:spacing w:after="160" w:line="360"/>
        <w:ind w:left="720" w:hanging="720"/>
      </w:pPr>
      <w:r>
        <w:rPr>
          <w:rFonts w:ascii="Arial" w:cs="Arial" w:eastAsia="Arial" w:hAnsi="Arial"/>
          <w:sz w:val="24"/>
          <w:szCs w:val="24"/>
        </w:rPr>
        <w:t xml:space="preserve">Tensiones y conflictos por agua en el boom inmobiliario de Tecámac, México. (s.f.). </w:t>
      </w:r>
      <w:r>
        <w:rPr>
          <w:rFonts w:ascii="Arial" w:cs="Arial" w:eastAsia="Arial" w:hAnsi="Arial"/>
          <w:i/>
          <w:iCs/>
          <w:sz w:val="24"/>
          <w:szCs w:val="24"/>
        </w:rPr>
        <w:t xml:space="preserve">Territorios</w:t>
      </w:r>
      <w:r>
        <w:rPr>
          <w:rFonts w:ascii="Arial" w:cs="Arial" w:eastAsia="Arial" w:hAnsi="Arial"/>
          <w:sz w:val="24"/>
          <w:szCs w:val="24"/>
        </w:rPr>
        <w:t xml:space="preserve">, (37). Recuperado de Agua.org.mx: https://agua.org.mx/wp-content/uploads/2019/11/Tensiones-y-conflictos-por-agua-en-el-boom-inmobiliario-de-Tecámac-México.pdf</w:t>
      </w:r>
    </w:p>
    <w:p>
      <w:pPr>
        <w:spacing w:after="160" w:line="360"/>
        <w:ind w:left="720" w:hanging="720"/>
      </w:pPr>
      <w:r>
        <w:rPr>
          <w:rFonts w:ascii="Arial" w:cs="Arial" w:eastAsia="Arial" w:hAnsi="Arial"/>
          <w:sz w:val="24"/>
          <w:szCs w:val="24"/>
        </w:rPr>
        <w:t xml:space="preserve">Velázquez Mejía, O. (2010). La habitabilidad desde una perspectiva subjetiva: el caso de la AGEB 010-9 del fraccionamiento Ojo de Agua, municipio de Tecámac, Estado de México. </w:t>
      </w:r>
      <w:r>
        <w:rPr>
          <w:rFonts w:ascii="Arial" w:cs="Arial" w:eastAsia="Arial" w:hAnsi="Arial"/>
          <w:i/>
          <w:iCs/>
          <w:sz w:val="24"/>
          <w:szCs w:val="24"/>
        </w:rPr>
        <w:t xml:space="preserve">Tlatemoani</w:t>
      </w:r>
      <w:r>
        <w:rPr>
          <w:rFonts w:ascii="Arial" w:cs="Arial" w:eastAsia="Arial" w:hAnsi="Arial"/>
          <w:sz w:val="24"/>
          <w:szCs w:val="24"/>
        </w:rPr>
        <w:t xml:space="preserve">, (4). https://www.eumed.net/rev/tlatemoani/04/ovm.pdf</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8"/>
        <w:szCs w:val="18"/>
      </w:rPr>
      <w:t xml:space="preserve">Profe Arci · fernandoarciniega.com · Página </w:t>
    </w:r>
    <w:r>
      <w:rPr>
        <w:rFonts w:ascii="Arial" w:cs="Arial" w:eastAsia="Arial" w:hAnsi="Arial"/>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sz w:val="40"/>
      <w:szCs w:val="40"/>
    </w:rPr>
  </w:style>
  <w:style w:type="paragraph" w:styleId="Heading1">
    <w:name w:val="Heading 1"/>
    <w:basedOn w:val="Normal"/>
    <w:next w:val="Normal"/>
    <w:qFormat/>
    <w:pPr>
      <w:outlineLvl w:val="0"/>
    </w:pPr>
    <w:rPr>
      <w:rFonts w:ascii="Arial" w:cs="Arial" w:eastAsia="Arial" w:hAnsi="Arial"/>
      <w:b/>
      <w:bCs/>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Contexto Social, Económico y Cultural de Ojo de Agua, Tecámac, Estado de México (Actualización 2026)</dc:title>
  <dc:creator>Mtro. Fernando Arciniega</dc:creator>
  <cp:lastModifiedBy>Un-named</cp:lastModifiedBy>
  <cp:revision>1</cp:revision>
  <dcterms:created xsi:type="dcterms:W3CDTF">2026-10-29T22:00:12.569Z</dcterms:created>
  <dcterms:modified xsi:type="dcterms:W3CDTF">2026-10-29T22:00:12.569Z</dcterms:modified>
</cp:coreProperties>
</file>

<file path=docProps/custom.xml><?xml version="1.0" encoding="utf-8"?>
<Properties xmlns="http://schemas.openxmlformats.org/officeDocument/2006/custom-properties" xmlns:vt="http://schemas.openxmlformats.org/officeDocument/2006/docPropsVTypes"/>
</file>